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5B" w:rsidRPr="00497201" w:rsidRDefault="00CE5F5B" w:rsidP="00E514A7">
      <w:pPr>
        <w:spacing w:after="0" w:line="240" w:lineRule="auto"/>
        <w:jc w:val="center"/>
        <w:rPr>
          <w:rFonts w:ascii="Poor Richard" w:hAnsi="Poor Richard" w:cs="Times New Roman"/>
          <w:b/>
          <w:sz w:val="32"/>
          <w:szCs w:val="32"/>
        </w:rPr>
      </w:pPr>
      <w:r w:rsidRPr="00497201">
        <w:rPr>
          <w:rFonts w:ascii="Poor Richard" w:hAnsi="Poor Richard" w:cs="Times New Roman"/>
          <w:b/>
          <w:sz w:val="32"/>
          <w:szCs w:val="32"/>
        </w:rPr>
        <w:t>The Role of Higher Education for Sustainable Development in Africa</w:t>
      </w:r>
    </w:p>
    <w:p w:rsidR="00CE5F5B" w:rsidRPr="00497201" w:rsidRDefault="00CE5F5B" w:rsidP="00E514A7">
      <w:pPr>
        <w:spacing w:after="0" w:line="240" w:lineRule="auto"/>
        <w:jc w:val="center"/>
        <w:rPr>
          <w:rFonts w:ascii="Book Antiqua" w:hAnsi="Book Antiqua" w:cs="Times New Roman"/>
          <w:sz w:val="21"/>
          <w:szCs w:val="21"/>
        </w:rPr>
      </w:pPr>
    </w:p>
    <w:p w:rsidR="00CE5F5B" w:rsidRPr="00497201" w:rsidRDefault="007459E0" w:rsidP="00E514A7">
      <w:pPr>
        <w:spacing w:after="0" w:line="240" w:lineRule="auto"/>
        <w:jc w:val="center"/>
        <w:rPr>
          <w:rFonts w:ascii="Book Antiqua" w:hAnsi="Book Antiqua" w:cs="Times New Roman"/>
          <w:b/>
          <w:sz w:val="21"/>
          <w:szCs w:val="21"/>
        </w:rPr>
      </w:pPr>
      <w:r w:rsidRPr="00497201">
        <w:rPr>
          <w:rFonts w:ascii="Book Antiqua" w:hAnsi="Book Antiqua" w:cs="Times New Roman"/>
          <w:b/>
          <w:sz w:val="21"/>
          <w:szCs w:val="21"/>
          <w:vertAlign w:val="superscript"/>
        </w:rPr>
        <w:t>*</w:t>
      </w:r>
      <w:r w:rsidR="00DD60AC" w:rsidRPr="00497201">
        <w:rPr>
          <w:rFonts w:ascii="Book Antiqua" w:hAnsi="Book Antiqua" w:cs="Times New Roman"/>
          <w:b/>
          <w:sz w:val="21"/>
          <w:szCs w:val="21"/>
        </w:rPr>
        <w:t>MUTISYA E. &amp;</w:t>
      </w:r>
      <w:r w:rsidRPr="00497201">
        <w:rPr>
          <w:rFonts w:ascii="Book Antiqua" w:hAnsi="Book Antiqua" w:cs="Times New Roman"/>
          <w:b/>
          <w:sz w:val="21"/>
          <w:szCs w:val="21"/>
        </w:rPr>
        <w:t xml:space="preserve"> M. NAGAO </w:t>
      </w:r>
    </w:p>
    <w:p w:rsidR="007459E0" w:rsidRPr="00497201" w:rsidRDefault="007459E0" w:rsidP="00E514A7">
      <w:pPr>
        <w:spacing w:after="0" w:line="240" w:lineRule="auto"/>
        <w:jc w:val="center"/>
        <w:rPr>
          <w:rFonts w:ascii="Book Antiqua" w:hAnsi="Book Antiqua" w:cs="Times New Roman"/>
          <w:sz w:val="21"/>
          <w:szCs w:val="21"/>
          <w:vertAlign w:val="superscript"/>
        </w:rPr>
      </w:pPr>
    </w:p>
    <w:p w:rsidR="00CE5F5B" w:rsidRPr="00497201" w:rsidRDefault="00CE5F5B" w:rsidP="00E514A7">
      <w:pPr>
        <w:pStyle w:val="NoSpacing"/>
        <w:jc w:val="center"/>
        <w:rPr>
          <w:rFonts w:ascii="Book Antiqua" w:hAnsi="Book Antiqua" w:cs="Times New Roman"/>
          <w:b/>
          <w:sz w:val="21"/>
          <w:szCs w:val="21"/>
        </w:rPr>
      </w:pPr>
      <w:r w:rsidRPr="00497201">
        <w:rPr>
          <w:rFonts w:ascii="Book Antiqua" w:hAnsi="Book Antiqua" w:cs="Times New Roman"/>
          <w:b/>
          <w:sz w:val="21"/>
          <w:szCs w:val="21"/>
        </w:rPr>
        <w:t>Graduate Program in Sustainability Science-Global Leadership Initiative,</w:t>
      </w:r>
    </w:p>
    <w:p w:rsidR="00CE5F5B" w:rsidRPr="00497201" w:rsidRDefault="00CE5F5B" w:rsidP="00E22361">
      <w:pPr>
        <w:pStyle w:val="NoSpacing"/>
        <w:jc w:val="center"/>
        <w:rPr>
          <w:rFonts w:ascii="Book Antiqua" w:hAnsi="Book Antiqua" w:cs="Times New Roman"/>
          <w:b/>
          <w:sz w:val="21"/>
          <w:szCs w:val="21"/>
        </w:rPr>
      </w:pPr>
      <w:r w:rsidRPr="00497201">
        <w:rPr>
          <w:rFonts w:ascii="Book Antiqua" w:hAnsi="Book Antiqua" w:cs="Times New Roman"/>
          <w:b/>
          <w:sz w:val="21"/>
          <w:szCs w:val="21"/>
        </w:rPr>
        <w:t>University of Tokyo, Japan</w:t>
      </w:r>
    </w:p>
    <w:p w:rsidR="00CE5F5B" w:rsidRPr="00497201" w:rsidRDefault="00CE5F5B" w:rsidP="00E514A7">
      <w:pPr>
        <w:spacing w:after="0" w:line="240" w:lineRule="auto"/>
        <w:jc w:val="center"/>
        <w:rPr>
          <w:rFonts w:ascii="Book Antiqua" w:hAnsi="Book Antiqua" w:cs="Times New Roman"/>
          <w:b/>
          <w:sz w:val="21"/>
          <w:szCs w:val="21"/>
        </w:rPr>
      </w:pPr>
      <w:r w:rsidRPr="00497201">
        <w:rPr>
          <w:rFonts w:ascii="Book Antiqua" w:hAnsi="Book Antiqua" w:cs="Times New Roman"/>
          <w:b/>
          <w:sz w:val="21"/>
          <w:szCs w:val="21"/>
        </w:rPr>
        <w:t>*</w:t>
      </w:r>
      <w:r w:rsidR="00EF3919" w:rsidRPr="00497201">
        <w:rPr>
          <w:rFonts w:ascii="Book Antiqua" w:hAnsi="Book Antiqua" w:cs="Times New Roman"/>
          <w:b/>
          <w:sz w:val="21"/>
          <w:szCs w:val="21"/>
        </w:rPr>
        <w:t>Email</w:t>
      </w:r>
      <w:r w:rsidRPr="00497201">
        <w:rPr>
          <w:rFonts w:ascii="Book Antiqua" w:hAnsi="Book Antiqua" w:cs="Times New Roman"/>
          <w:b/>
          <w:sz w:val="21"/>
          <w:szCs w:val="21"/>
        </w:rPr>
        <w:t xml:space="preserve">: </w:t>
      </w:r>
      <w:hyperlink r:id="rId7" w:history="1">
        <w:r w:rsidRPr="00DB2BC0">
          <w:rPr>
            <w:rStyle w:val="Hyperlink"/>
            <w:rFonts w:ascii="Book Antiqua" w:hAnsi="Book Antiqua" w:cs="Times New Roman"/>
            <w:b/>
            <w:color w:val="auto"/>
            <w:sz w:val="21"/>
            <w:szCs w:val="21"/>
            <w:u w:val="none"/>
          </w:rPr>
          <w:t>mutisya.emmanuel@gmail.com</w:t>
        </w:r>
      </w:hyperlink>
    </w:p>
    <w:p w:rsidR="00CE5F5B" w:rsidRPr="00497201" w:rsidRDefault="00CE5F5B" w:rsidP="00E514A7">
      <w:pPr>
        <w:spacing w:after="0" w:line="240" w:lineRule="auto"/>
        <w:jc w:val="center"/>
        <w:rPr>
          <w:rFonts w:ascii="Book Antiqua" w:hAnsi="Book Antiqua" w:cs="Times New Roman"/>
          <w:sz w:val="21"/>
          <w:szCs w:val="21"/>
        </w:rPr>
      </w:pPr>
    </w:p>
    <w:p w:rsidR="00CE5F5B" w:rsidRPr="00497201" w:rsidRDefault="000650DA" w:rsidP="00E514A7">
      <w:pPr>
        <w:spacing w:after="0" w:line="240" w:lineRule="auto"/>
        <w:jc w:val="center"/>
        <w:rPr>
          <w:rFonts w:ascii="Book Antiqua" w:hAnsi="Book Antiqua" w:cs="Times New Roman"/>
          <w:b/>
          <w:sz w:val="21"/>
          <w:szCs w:val="21"/>
        </w:rPr>
      </w:pPr>
      <w:r w:rsidRPr="00497201">
        <w:rPr>
          <w:rFonts w:ascii="Book Antiqua" w:hAnsi="Book Antiqua" w:cs="Times New Roman"/>
          <w:b/>
          <w:sz w:val="21"/>
          <w:szCs w:val="21"/>
        </w:rPr>
        <w:t>Abstract</w:t>
      </w:r>
    </w:p>
    <w:p w:rsidR="00E514A7" w:rsidRPr="00497201" w:rsidRDefault="00E514A7" w:rsidP="00E514A7">
      <w:pPr>
        <w:spacing w:after="0" w:line="240" w:lineRule="auto"/>
        <w:jc w:val="center"/>
        <w:rPr>
          <w:rFonts w:ascii="Book Antiqua" w:hAnsi="Book Antiqua" w:cs="Times New Roman"/>
          <w:sz w:val="21"/>
          <w:szCs w:val="21"/>
        </w:rPr>
      </w:pPr>
    </w:p>
    <w:p w:rsidR="00E22361" w:rsidRDefault="00CE5F5B" w:rsidP="00413B64">
      <w:pPr>
        <w:spacing w:after="0" w:line="240" w:lineRule="auto"/>
        <w:ind w:left="709" w:right="681"/>
        <w:jc w:val="both"/>
        <w:rPr>
          <w:rFonts w:ascii="Book Antiqua" w:hAnsi="Book Antiqua" w:cs="Times New Roman"/>
          <w:sz w:val="21"/>
          <w:szCs w:val="21"/>
        </w:rPr>
      </w:pPr>
      <w:r w:rsidRPr="00497201">
        <w:rPr>
          <w:rFonts w:ascii="Book Antiqua" w:hAnsi="Book Antiqua" w:cs="Times New Roman"/>
          <w:sz w:val="21"/>
          <w:szCs w:val="21"/>
        </w:rPr>
        <w:t>This paper argues that the rising sustainability concern in Africa’s development is making new capacity-building demand</w:t>
      </w:r>
      <w:r w:rsidR="005140A9" w:rsidRPr="00497201">
        <w:rPr>
          <w:rFonts w:ascii="Book Antiqua" w:hAnsi="Book Antiqua" w:cs="Times New Roman"/>
          <w:sz w:val="21"/>
          <w:szCs w:val="21"/>
        </w:rPr>
        <w:t>s</w:t>
      </w:r>
      <w:r w:rsidRPr="00497201">
        <w:rPr>
          <w:rFonts w:ascii="Book Antiqua" w:hAnsi="Book Antiqua" w:cs="Times New Roman"/>
          <w:sz w:val="21"/>
          <w:szCs w:val="21"/>
        </w:rPr>
        <w:t xml:space="preserve"> on African universities, which may have a far-reaching impact not only in altering the structure and functioning of these universities but also in enhancing their relevance and utility to society. The rising capacity-building demand is for </w:t>
      </w:r>
      <w:r w:rsidR="005140A9" w:rsidRPr="00497201">
        <w:rPr>
          <w:rFonts w:ascii="Book Antiqua" w:hAnsi="Book Antiqua" w:cs="Times New Roman"/>
          <w:sz w:val="21"/>
          <w:szCs w:val="21"/>
        </w:rPr>
        <w:t xml:space="preserve">the </w:t>
      </w:r>
      <w:r w:rsidRPr="00497201">
        <w:rPr>
          <w:rFonts w:ascii="Book Antiqua" w:hAnsi="Book Antiqua" w:cs="Times New Roman"/>
          <w:sz w:val="21"/>
          <w:szCs w:val="21"/>
        </w:rPr>
        <w:t>generation of professionals who are trained in systemic and holistic thinking, familiar with field-based conditions, experienced in problem-solving approaches and endowed with leadership qualities for mediating among multiple groups of stakeholders, and who are ready to tackle complex issues such as poverty reduction, rural and urban livelihood improvement, resource development, management and conservation, biodiversity preservation and so forth.</w:t>
      </w:r>
      <w:r w:rsidR="00F90E62" w:rsidRPr="00497201">
        <w:rPr>
          <w:rFonts w:ascii="Book Antiqua" w:hAnsi="Book Antiqua" w:cs="Times New Roman"/>
          <w:sz w:val="21"/>
          <w:szCs w:val="21"/>
        </w:rPr>
        <w:t xml:space="preserve"> </w:t>
      </w:r>
      <w:r w:rsidRPr="00497201">
        <w:rPr>
          <w:rFonts w:ascii="Book Antiqua" w:hAnsi="Book Antiqua" w:cs="Times New Roman"/>
          <w:sz w:val="21"/>
          <w:szCs w:val="21"/>
        </w:rPr>
        <w:t>Traditional academic/disciplinary structure</w:t>
      </w:r>
      <w:r w:rsidR="005140A9" w:rsidRPr="00497201">
        <w:rPr>
          <w:rFonts w:ascii="Book Antiqua" w:hAnsi="Book Antiqua" w:cs="Times New Roman"/>
          <w:sz w:val="21"/>
          <w:szCs w:val="21"/>
        </w:rPr>
        <w:t>s</w:t>
      </w:r>
      <w:r w:rsidRPr="00497201">
        <w:rPr>
          <w:rFonts w:ascii="Book Antiqua" w:hAnsi="Book Antiqua" w:cs="Times New Roman"/>
          <w:sz w:val="21"/>
          <w:szCs w:val="21"/>
        </w:rPr>
        <w:t xml:space="preserve"> cannot cope with these demands adequately. The problem-driven nature of sustainable development concern is changing the relationship between university and communities. There is a need to change higher education curricular to address this changing relationship. In addition, it is important to change university departmental structure</w:t>
      </w:r>
      <w:r w:rsidR="005140A9" w:rsidRPr="00497201">
        <w:rPr>
          <w:rFonts w:ascii="Book Antiqua" w:hAnsi="Book Antiqua" w:cs="Times New Roman"/>
          <w:sz w:val="21"/>
          <w:szCs w:val="21"/>
        </w:rPr>
        <w:t>s</w:t>
      </w:r>
      <w:r w:rsidRPr="00497201">
        <w:rPr>
          <w:rFonts w:ascii="Book Antiqua" w:hAnsi="Book Antiqua" w:cs="Times New Roman"/>
          <w:sz w:val="21"/>
          <w:szCs w:val="21"/>
        </w:rPr>
        <w:t xml:space="preserve"> to promote inter-disciplinary approaches. This will lead to the transformation of higher education’s role to knowledge creation, exchange, and sharing for sustainable development.</w:t>
      </w:r>
    </w:p>
    <w:p w:rsidR="00413B64" w:rsidRDefault="00413B64" w:rsidP="00413B64">
      <w:pPr>
        <w:spacing w:after="0" w:line="240" w:lineRule="auto"/>
        <w:ind w:left="709" w:right="681"/>
        <w:jc w:val="both"/>
        <w:rPr>
          <w:rFonts w:ascii="Book Antiqua" w:hAnsi="Book Antiqua" w:cs="Times New Roman"/>
          <w:sz w:val="21"/>
          <w:szCs w:val="21"/>
        </w:rPr>
      </w:pPr>
    </w:p>
    <w:p w:rsidR="00413B64" w:rsidRDefault="00D13C7B" w:rsidP="00D13C7B">
      <w:pPr>
        <w:spacing w:after="0" w:line="240" w:lineRule="auto"/>
        <w:ind w:right="681"/>
        <w:jc w:val="both"/>
        <w:rPr>
          <w:rFonts w:ascii="Book Antiqua" w:hAnsi="Book Antiqua" w:cs="Times New Roman"/>
          <w:sz w:val="21"/>
          <w:szCs w:val="21"/>
        </w:rPr>
      </w:pPr>
      <w:r w:rsidRPr="00D13C7B">
        <w:rPr>
          <w:rFonts w:ascii="Book Antiqua" w:hAnsi="Book Antiqua" w:cs="Times New Roman"/>
          <w:b/>
          <w:sz w:val="21"/>
          <w:szCs w:val="21"/>
        </w:rPr>
        <w:t>Keywords:</w:t>
      </w:r>
      <w:r>
        <w:rPr>
          <w:rFonts w:ascii="Book Antiqua" w:hAnsi="Book Antiqua" w:cs="Times New Roman"/>
          <w:sz w:val="21"/>
          <w:szCs w:val="21"/>
        </w:rPr>
        <w:t xml:space="preserve"> Higher Education, Sustainable Development, Africa</w:t>
      </w:r>
    </w:p>
    <w:p w:rsidR="00413B64" w:rsidRDefault="00413B64" w:rsidP="00413B64">
      <w:pPr>
        <w:spacing w:after="0" w:line="240" w:lineRule="auto"/>
        <w:ind w:left="709" w:right="681"/>
        <w:jc w:val="both"/>
        <w:rPr>
          <w:rFonts w:ascii="Book Antiqua" w:hAnsi="Book Antiqua" w:cs="Times New Roman"/>
          <w:sz w:val="21"/>
          <w:szCs w:val="21"/>
        </w:rPr>
      </w:pPr>
    </w:p>
    <w:p w:rsidR="00E546E5" w:rsidRPr="00497201" w:rsidRDefault="00E546E5" w:rsidP="00413B64">
      <w:pPr>
        <w:spacing w:after="0" w:line="240" w:lineRule="auto"/>
        <w:ind w:left="709" w:right="681"/>
        <w:jc w:val="both"/>
        <w:rPr>
          <w:rFonts w:ascii="Book Antiqua" w:hAnsi="Book Antiqua" w:cs="Times New Roman"/>
          <w:sz w:val="21"/>
          <w:szCs w:val="21"/>
        </w:rPr>
      </w:pPr>
    </w:p>
    <w:p w:rsidR="00CE5F5B" w:rsidRPr="00497201" w:rsidRDefault="00946ED7" w:rsidP="00865558">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lastRenderedPageBreak/>
        <w:t>Introduction</w:t>
      </w:r>
    </w:p>
    <w:p w:rsidR="00946ED7" w:rsidRPr="00497201" w:rsidRDefault="00946ED7" w:rsidP="00865558">
      <w:pPr>
        <w:spacing w:after="0" w:line="240" w:lineRule="auto"/>
        <w:jc w:val="both"/>
        <w:rPr>
          <w:rFonts w:ascii="Book Antiqua" w:hAnsi="Book Antiqua" w:cs="Times New Roman"/>
          <w:sz w:val="21"/>
          <w:szCs w:val="21"/>
        </w:rPr>
      </w:pPr>
    </w:p>
    <w:p w:rsidR="00CE5F5B" w:rsidRPr="00497201" w:rsidRDefault="00946ED7" w:rsidP="00865558">
      <w:pPr>
        <w:spacing w:after="0" w:line="240" w:lineRule="auto"/>
        <w:jc w:val="both"/>
        <w:rPr>
          <w:rFonts w:ascii="Book Antiqua" w:hAnsi="Book Antiqua" w:cs="Times New Roman"/>
          <w:sz w:val="21"/>
          <w:szCs w:val="21"/>
          <w:u w:val="single"/>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Sustainable development of any society would demand coping simultaneously with a multitude of problems which are characterized not only by complex causal chains and contextual difficulties but which also involve individuals and organizations with different aspirations and orientations. Holistic and integrative thinking based on </w:t>
      </w:r>
      <w:r w:rsidR="00C043E0" w:rsidRPr="00497201">
        <w:rPr>
          <w:rFonts w:ascii="Book Antiqua" w:hAnsi="Book Antiqua" w:cs="Times New Roman"/>
          <w:sz w:val="21"/>
          <w:szCs w:val="21"/>
        </w:rPr>
        <w:t xml:space="preserve">a </w:t>
      </w:r>
      <w:r w:rsidR="00CE5F5B" w:rsidRPr="00497201">
        <w:rPr>
          <w:rFonts w:ascii="Book Antiqua" w:hAnsi="Book Antiqua" w:cs="Times New Roman"/>
          <w:sz w:val="21"/>
          <w:szCs w:val="21"/>
        </w:rPr>
        <w:t xml:space="preserve">systematic compilation of wide-ranging information, that is, knowledge, and bringing together of like-minded actors across boundaries, be they geographic, ethnic, gender, or socio-economic, should be regarded as the foundation requirement for </w:t>
      </w:r>
      <w:r w:rsidR="00C043E0" w:rsidRPr="00497201">
        <w:rPr>
          <w:rFonts w:ascii="Book Antiqua" w:hAnsi="Book Antiqua" w:cs="Times New Roman"/>
          <w:sz w:val="21"/>
          <w:szCs w:val="21"/>
        </w:rPr>
        <w:t xml:space="preserve">the </w:t>
      </w:r>
      <w:r w:rsidR="00CE5F5B" w:rsidRPr="00497201">
        <w:rPr>
          <w:rFonts w:ascii="Book Antiqua" w:hAnsi="Book Antiqua" w:cs="Times New Roman"/>
          <w:sz w:val="21"/>
          <w:szCs w:val="21"/>
        </w:rPr>
        <w:t>scientific understanding of sustainable development phenomenon (Komiyama &amp; Takeuchi, 2006). Stakeholder collaboration for knowledge mobilization to solve practical problems is the essence of sustainable development effort. Higher education institutions have a key role to play in this respect as they are in a position to create knowledge through research, to distribute knowledge through education and training, to utilize knowledge through public outreach services, and, combining all these functions in an integrated manner, to assume leadership for the promotion of sustainable development (Yarime et. al., 2012]. The central role of higher education institutions in sustainable development is therefore critically important.</w:t>
      </w:r>
    </w:p>
    <w:p w:rsidR="00946ED7" w:rsidRPr="00497201" w:rsidRDefault="00946ED7" w:rsidP="00865558">
      <w:pPr>
        <w:spacing w:after="0" w:line="240" w:lineRule="auto"/>
        <w:jc w:val="both"/>
        <w:rPr>
          <w:rFonts w:ascii="Book Antiqua" w:hAnsi="Book Antiqua" w:cs="Times New Roman"/>
          <w:sz w:val="21"/>
          <w:szCs w:val="21"/>
        </w:rPr>
      </w:pPr>
    </w:p>
    <w:p w:rsidR="00CE5F5B" w:rsidRPr="00497201" w:rsidRDefault="00946ED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Arguably, the rising sustainability concern in Africa’s development is making a new capacity-building demand on African universities, which may have a far-reaching impact not only in altering the structure and functioning of these universities but also in enhancing their relevance and utility to society. The rising capacity-building demand is for generation of professionals who are trained in the systemic and holistic thinking, familiar with field-based conditions, experienced in problem-solving approaches and endowed with leadership qualities for mediating among multiple groups of stakeholders, in tackling complex issues such as poverty reduction, rural and urban livelihood improvement, resource development, management and conservation, biodiversity preservation and so forth.</w:t>
      </w:r>
    </w:p>
    <w:p w:rsidR="00946ED7" w:rsidRPr="00497201" w:rsidRDefault="00946ED7" w:rsidP="00865558">
      <w:pPr>
        <w:spacing w:after="0" w:line="240" w:lineRule="auto"/>
        <w:jc w:val="both"/>
        <w:rPr>
          <w:rFonts w:ascii="Book Antiqua" w:hAnsi="Book Antiqua" w:cs="Times New Roman"/>
          <w:sz w:val="21"/>
          <w:szCs w:val="21"/>
        </w:rPr>
      </w:pPr>
    </w:p>
    <w:p w:rsidR="00CE5F5B" w:rsidRPr="00497201" w:rsidRDefault="00946ED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 paper starts with a brief examination of the challenges</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facing African universities, reviews how international collaboration</w:t>
      </w:r>
      <w:r w:rsidR="00C043E0" w:rsidRPr="00497201">
        <w:rPr>
          <w:rFonts w:ascii="Book Antiqua" w:hAnsi="Book Antiqua" w:cs="Times New Roman"/>
          <w:sz w:val="21"/>
          <w:szCs w:val="21"/>
        </w:rPr>
        <w:t>s</w:t>
      </w:r>
      <w:r w:rsidR="00CE5F5B" w:rsidRPr="00497201">
        <w:rPr>
          <w:rFonts w:ascii="Book Antiqua" w:hAnsi="Book Antiqua" w:cs="Times New Roman"/>
          <w:sz w:val="21"/>
          <w:szCs w:val="21"/>
        </w:rPr>
        <w:t xml:space="preserve"> with industrialized countries have failed to alter it, and how the emerging sustainability concern calls for a new and different look at the way African universities should contribute to development, especially through inter-university collaboration. In order to illustrate this possibility, the paper </w:t>
      </w:r>
      <w:r w:rsidR="00CE5F5B" w:rsidRPr="00497201">
        <w:rPr>
          <w:rFonts w:ascii="Book Antiqua" w:hAnsi="Book Antiqua" w:cs="Times New Roman"/>
          <w:sz w:val="21"/>
          <w:szCs w:val="21"/>
        </w:rPr>
        <w:lastRenderedPageBreak/>
        <w:t>introduces the initiative by eight leading African universities, with the support of the United Nations University, three jointly-organized Mas</w:t>
      </w:r>
      <w:r w:rsidR="00297E23" w:rsidRPr="00497201">
        <w:rPr>
          <w:rFonts w:ascii="Book Antiqua" w:hAnsi="Book Antiqua" w:cs="Times New Roman"/>
          <w:sz w:val="21"/>
          <w:szCs w:val="21"/>
        </w:rPr>
        <w:t xml:space="preserve">ter’s programs – </w:t>
      </w:r>
      <w:r w:rsidR="00CE5F5B" w:rsidRPr="00497201">
        <w:rPr>
          <w:rFonts w:ascii="Book Antiqua" w:hAnsi="Book Antiqua" w:cs="Times New Roman"/>
          <w:sz w:val="21"/>
          <w:szCs w:val="21"/>
        </w:rPr>
        <w:t>respectively, on integrated sustainable rural development, sustainable urban development and minerals and mining resources.</w:t>
      </w:r>
    </w:p>
    <w:p w:rsidR="00946ED7" w:rsidRPr="00497201" w:rsidRDefault="00946ED7" w:rsidP="00865558">
      <w:pPr>
        <w:spacing w:after="0" w:line="240" w:lineRule="auto"/>
        <w:jc w:val="both"/>
        <w:rPr>
          <w:rFonts w:ascii="Book Antiqua" w:hAnsi="Book Antiqua" w:cs="Times New Roman"/>
          <w:sz w:val="21"/>
          <w:szCs w:val="21"/>
        </w:rPr>
      </w:pPr>
    </w:p>
    <w:p w:rsidR="00CE5F5B" w:rsidRPr="00497201" w:rsidRDefault="00946ED7" w:rsidP="00865558">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Africa’s Higher Educ</w:t>
      </w:r>
      <w:r w:rsidR="00AF6F6F" w:rsidRPr="00497201">
        <w:rPr>
          <w:rFonts w:ascii="Book Antiqua" w:hAnsi="Book Antiqua" w:cs="Times New Roman"/>
          <w:b/>
          <w:sz w:val="21"/>
          <w:szCs w:val="21"/>
        </w:rPr>
        <w:t>ation: Historical Perspectives a</w:t>
      </w:r>
      <w:r w:rsidRPr="00497201">
        <w:rPr>
          <w:rFonts w:ascii="Book Antiqua" w:hAnsi="Book Antiqua" w:cs="Times New Roman"/>
          <w:b/>
          <w:sz w:val="21"/>
          <w:szCs w:val="21"/>
        </w:rPr>
        <w:t>nd Current Realities</w:t>
      </w:r>
    </w:p>
    <w:p w:rsidR="00946ED7" w:rsidRPr="00497201" w:rsidRDefault="00946ED7" w:rsidP="00865558">
      <w:pPr>
        <w:spacing w:after="0" w:line="240" w:lineRule="auto"/>
        <w:jc w:val="both"/>
        <w:rPr>
          <w:rFonts w:ascii="Book Antiqua" w:hAnsi="Book Antiqua" w:cs="Times New Roman"/>
          <w:sz w:val="21"/>
          <w:szCs w:val="21"/>
        </w:rPr>
      </w:pPr>
    </w:p>
    <w:p w:rsidR="00CE5F5B" w:rsidRPr="00497201" w:rsidRDefault="00946ED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As a rapidly changing society, Africa has experienced </w:t>
      </w:r>
      <w:r w:rsidR="00C043E0" w:rsidRPr="00497201">
        <w:rPr>
          <w:rFonts w:ascii="Book Antiqua" w:hAnsi="Book Antiqua" w:cs="Times New Roman"/>
          <w:sz w:val="21"/>
          <w:szCs w:val="21"/>
        </w:rPr>
        <w:t xml:space="preserve">levels of </w:t>
      </w:r>
      <w:r w:rsidR="00CE5F5B" w:rsidRPr="00497201">
        <w:rPr>
          <w:rFonts w:ascii="Book Antiqua" w:hAnsi="Book Antiqua" w:cs="Times New Roman"/>
          <w:sz w:val="21"/>
          <w:szCs w:val="21"/>
        </w:rPr>
        <w:t xml:space="preserve">explosive growth in higher education enrolment for the last 4 decades, a period in which the enrolment in higher education institutions has grown on average of 8.6% annually. The fast </w:t>
      </w:r>
      <w:r w:rsidR="007B7E56" w:rsidRPr="00497201">
        <w:rPr>
          <w:rFonts w:ascii="Book Antiqua" w:hAnsi="Book Antiqua" w:cs="Times New Roman"/>
          <w:sz w:val="21"/>
          <w:szCs w:val="21"/>
        </w:rPr>
        <w:t xml:space="preserve">paced </w:t>
      </w:r>
      <w:r w:rsidR="00CE5F5B" w:rsidRPr="00497201">
        <w:rPr>
          <w:rFonts w:ascii="Book Antiqua" w:hAnsi="Book Antiqua" w:cs="Times New Roman"/>
          <w:sz w:val="21"/>
          <w:szCs w:val="21"/>
        </w:rPr>
        <w:t xml:space="preserve">growth has resulted </w:t>
      </w:r>
      <w:r w:rsidR="007B7E56" w:rsidRPr="00497201">
        <w:rPr>
          <w:rFonts w:ascii="Book Antiqua" w:hAnsi="Book Antiqua" w:cs="Times New Roman"/>
          <w:sz w:val="21"/>
          <w:szCs w:val="21"/>
        </w:rPr>
        <w:t>in</w:t>
      </w:r>
      <w:r w:rsidR="00CE5F5B" w:rsidRPr="00497201">
        <w:rPr>
          <w:rFonts w:ascii="Book Antiqua" w:hAnsi="Book Antiqua" w:cs="Times New Roman"/>
          <w:sz w:val="21"/>
          <w:szCs w:val="21"/>
        </w:rPr>
        <w:t xml:space="preserve"> increased challenges that education planners are faced with including but not limited to recruiting staff for systems that are doubling in size every decade. </w:t>
      </w:r>
    </w:p>
    <w:p w:rsidR="00C9280C" w:rsidRPr="00497201" w:rsidRDefault="00C9280C" w:rsidP="00C9280C">
      <w:pPr>
        <w:tabs>
          <w:tab w:val="left" w:pos="1515"/>
        </w:tabs>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p>
    <w:p w:rsidR="00CE5F5B" w:rsidRPr="00497201" w:rsidRDefault="00E22361"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 xml:space="preserve">    </w:t>
      </w:r>
      <w:r w:rsidR="00CE5F5B" w:rsidRPr="00497201">
        <w:rPr>
          <w:rFonts w:ascii="Book Antiqua" w:hAnsi="Book Antiqua" w:cs="Times New Roman"/>
          <w:noProof/>
          <w:sz w:val="21"/>
          <w:szCs w:val="21"/>
          <w:lang w:eastAsia="en-GB"/>
        </w:rPr>
        <w:drawing>
          <wp:inline distT="0" distB="0" distL="0" distR="0">
            <wp:extent cx="4286250" cy="2124075"/>
            <wp:effectExtent l="19050" t="0" r="19050" b="0"/>
            <wp:docPr id="4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280C" w:rsidRPr="00497201" w:rsidRDefault="00C9280C" w:rsidP="00C9280C">
      <w:pPr>
        <w:spacing w:after="0" w:line="240" w:lineRule="auto"/>
        <w:jc w:val="both"/>
        <w:rPr>
          <w:rFonts w:ascii="Book Antiqua" w:hAnsi="Book Antiqua" w:cs="Times New Roman"/>
          <w:b/>
          <w:sz w:val="21"/>
          <w:szCs w:val="21"/>
        </w:rPr>
      </w:pPr>
    </w:p>
    <w:p w:rsidR="00C9280C" w:rsidRPr="00497201" w:rsidRDefault="00C9280C" w:rsidP="00C9280C">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Figure 1: Growth of enrolment in higher education in Sub-Saharan Africa</w:t>
      </w:r>
    </w:p>
    <w:p w:rsidR="00CE5F5B" w:rsidRPr="00497201" w:rsidRDefault="00CE5F5B" w:rsidP="00865558">
      <w:pPr>
        <w:spacing w:after="0" w:line="240" w:lineRule="auto"/>
        <w:jc w:val="both"/>
        <w:rPr>
          <w:rFonts w:ascii="Book Antiqua" w:hAnsi="Book Antiqua" w:cs="Times New Roman"/>
          <w:b/>
          <w:sz w:val="20"/>
          <w:szCs w:val="20"/>
        </w:rPr>
      </w:pPr>
      <w:r w:rsidRPr="00497201">
        <w:rPr>
          <w:rFonts w:ascii="Book Antiqua" w:hAnsi="Book Antiqua" w:cs="Times New Roman"/>
          <w:b/>
          <w:sz w:val="20"/>
          <w:szCs w:val="20"/>
        </w:rPr>
        <w:t>Data source: UNESCO Institute of Statistics, GED 2010</w:t>
      </w:r>
    </w:p>
    <w:p w:rsidR="00C9280C" w:rsidRPr="00497201" w:rsidRDefault="00C9280C" w:rsidP="00865558">
      <w:pPr>
        <w:spacing w:after="0" w:line="240" w:lineRule="auto"/>
        <w:jc w:val="both"/>
        <w:rPr>
          <w:rFonts w:ascii="Book Antiqua" w:hAnsi="Book Antiqua" w:cs="Times New Roman"/>
          <w:b/>
          <w:sz w:val="20"/>
          <w:szCs w:val="20"/>
        </w:rPr>
      </w:pPr>
    </w:p>
    <w:p w:rsidR="00CE5F5B" w:rsidRPr="00497201" w:rsidRDefault="00C9280C"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Yet, the absolute size of the system is behind: 3.7 million more students in 40 years, this took two years in China or five years in Latin America and the Caribbean. Other regions have had an even faster </w:t>
      </w:r>
      <w:r w:rsidR="007B7E56" w:rsidRPr="00497201">
        <w:rPr>
          <w:rFonts w:ascii="Book Antiqua" w:hAnsi="Book Antiqua" w:cs="Times New Roman"/>
          <w:sz w:val="21"/>
          <w:szCs w:val="21"/>
        </w:rPr>
        <w:t xml:space="preserve">level of </w:t>
      </w:r>
      <w:r w:rsidR="00CE5F5B" w:rsidRPr="00497201">
        <w:rPr>
          <w:rFonts w:ascii="Book Antiqua" w:hAnsi="Book Antiqua" w:cs="Times New Roman"/>
          <w:sz w:val="21"/>
          <w:szCs w:val="21"/>
        </w:rPr>
        <w:t>growth in higher education enrolment, leaving Africa as the region with the slowest growth as shown in Figure 2.</w:t>
      </w:r>
    </w:p>
    <w:p w:rsidR="00CE5F5B" w:rsidRPr="00497201" w:rsidRDefault="00C9280C" w:rsidP="00C9280C">
      <w:pPr>
        <w:tabs>
          <w:tab w:val="left" w:pos="1125"/>
        </w:tabs>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p>
    <w:p w:rsidR="00CE5F5B" w:rsidRPr="00497201" w:rsidRDefault="00CE5F5B" w:rsidP="00865558">
      <w:pPr>
        <w:autoSpaceDE w:val="0"/>
        <w:autoSpaceDN w:val="0"/>
        <w:adjustRightInd w:val="0"/>
        <w:spacing w:after="0" w:line="240" w:lineRule="auto"/>
        <w:jc w:val="both"/>
        <w:rPr>
          <w:rFonts w:ascii="Book Antiqua" w:hAnsi="Book Antiqua" w:cs="Times New Roman"/>
          <w:sz w:val="21"/>
          <w:szCs w:val="21"/>
        </w:rPr>
      </w:pPr>
      <w:r w:rsidRPr="00497201">
        <w:rPr>
          <w:rFonts w:ascii="Book Antiqua" w:hAnsi="Book Antiqua" w:cs="Times New Roman"/>
          <w:noProof/>
          <w:sz w:val="21"/>
          <w:szCs w:val="21"/>
          <w:lang w:eastAsia="en-GB"/>
        </w:rPr>
        <w:lastRenderedPageBreak/>
        <w:drawing>
          <wp:inline distT="0" distB="0" distL="0" distR="0">
            <wp:extent cx="4429125" cy="2362200"/>
            <wp:effectExtent l="19050" t="0" r="9525" b="0"/>
            <wp:docPr id="4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280C" w:rsidRPr="00497201" w:rsidRDefault="00C9280C" w:rsidP="00C9280C">
      <w:pPr>
        <w:spacing w:after="0" w:line="240" w:lineRule="auto"/>
        <w:jc w:val="both"/>
        <w:rPr>
          <w:rFonts w:ascii="Book Antiqua" w:eastAsia="Times New Roman" w:hAnsi="Book Antiqua" w:cs="Times New Roman"/>
          <w:b/>
          <w:sz w:val="21"/>
          <w:szCs w:val="21"/>
        </w:rPr>
      </w:pPr>
    </w:p>
    <w:p w:rsidR="00C9280C" w:rsidRPr="00497201" w:rsidRDefault="00C9280C" w:rsidP="00C9280C">
      <w:pPr>
        <w:spacing w:after="0" w:line="240" w:lineRule="auto"/>
        <w:jc w:val="both"/>
        <w:rPr>
          <w:rFonts w:ascii="Book Antiqua" w:eastAsia="Times New Roman" w:hAnsi="Book Antiqua" w:cs="Times New Roman"/>
          <w:b/>
          <w:sz w:val="21"/>
          <w:szCs w:val="21"/>
        </w:rPr>
      </w:pPr>
      <w:r w:rsidRPr="00497201">
        <w:rPr>
          <w:rFonts w:ascii="Book Antiqua" w:eastAsia="Times New Roman" w:hAnsi="Book Antiqua" w:cs="Times New Roman"/>
          <w:b/>
          <w:sz w:val="21"/>
          <w:szCs w:val="21"/>
        </w:rPr>
        <w:t>Figure 2: Global Tertiary Education Gross Enrolment Ratio</w:t>
      </w:r>
    </w:p>
    <w:p w:rsidR="00CE5F5B" w:rsidRPr="00497201" w:rsidRDefault="00CE5F5B" w:rsidP="00865558">
      <w:pPr>
        <w:spacing w:after="0" w:line="240" w:lineRule="auto"/>
        <w:jc w:val="both"/>
        <w:rPr>
          <w:rFonts w:ascii="Book Antiqua" w:hAnsi="Book Antiqua" w:cs="Times New Roman"/>
          <w:b/>
          <w:sz w:val="20"/>
          <w:szCs w:val="20"/>
        </w:rPr>
      </w:pPr>
      <w:r w:rsidRPr="00497201">
        <w:rPr>
          <w:rFonts w:ascii="Book Antiqua" w:hAnsi="Book Antiqua" w:cs="Times New Roman"/>
          <w:b/>
          <w:sz w:val="20"/>
          <w:szCs w:val="20"/>
        </w:rPr>
        <w:t>Data source: UNESCO Institute of Statistics, GED 2009</w:t>
      </w:r>
    </w:p>
    <w:p w:rsidR="00CE5F5B" w:rsidRPr="00497201" w:rsidRDefault="00CE5F5B" w:rsidP="00865558">
      <w:pPr>
        <w:spacing w:after="0" w:line="240" w:lineRule="auto"/>
        <w:jc w:val="both"/>
        <w:rPr>
          <w:rFonts w:ascii="Book Antiqua" w:hAnsi="Book Antiqua" w:cs="Times New Roman"/>
          <w:sz w:val="21"/>
          <w:szCs w:val="21"/>
        </w:rPr>
      </w:pPr>
    </w:p>
    <w:p w:rsidR="00CE5F5B" w:rsidRPr="00497201" w:rsidRDefault="00C6024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These higher education enrolments in Africa vary by country. Some countries like Mauritius, Cameroon, Namibia, and Senegal have experience</w:t>
      </w:r>
      <w:r w:rsidR="007B7E56" w:rsidRPr="00497201">
        <w:rPr>
          <w:rFonts w:ascii="Book Antiqua" w:hAnsi="Book Antiqua" w:cs="Times New Roman"/>
          <w:sz w:val="21"/>
          <w:szCs w:val="21"/>
        </w:rPr>
        <w:t>d</w:t>
      </w:r>
      <w:r w:rsidR="00CE5F5B" w:rsidRPr="00497201">
        <w:rPr>
          <w:rFonts w:ascii="Book Antiqua" w:hAnsi="Book Antiqua" w:cs="Times New Roman"/>
          <w:sz w:val="21"/>
          <w:szCs w:val="21"/>
        </w:rPr>
        <w:t xml:space="preserve"> fast</w:t>
      </w:r>
      <w:r w:rsidR="007B7E56" w:rsidRPr="00497201">
        <w:rPr>
          <w:rFonts w:ascii="Book Antiqua" w:hAnsi="Book Antiqua" w:cs="Times New Roman"/>
          <w:sz w:val="21"/>
          <w:szCs w:val="21"/>
        </w:rPr>
        <w:t>er</w:t>
      </w:r>
      <w:r w:rsidR="00CE5F5B" w:rsidRPr="00497201">
        <w:rPr>
          <w:rFonts w:ascii="Book Antiqua" w:hAnsi="Book Antiqua" w:cs="Times New Roman"/>
          <w:sz w:val="21"/>
          <w:szCs w:val="21"/>
        </w:rPr>
        <w:t xml:space="preserve"> growth </w:t>
      </w:r>
      <w:r w:rsidR="007B7E56" w:rsidRPr="00497201">
        <w:rPr>
          <w:rFonts w:ascii="Book Antiqua" w:hAnsi="Book Antiqua" w:cs="Times New Roman"/>
          <w:sz w:val="21"/>
          <w:szCs w:val="21"/>
        </w:rPr>
        <w:t xml:space="preserve">in </w:t>
      </w:r>
      <w:r w:rsidR="00CE5F5B" w:rsidRPr="00497201">
        <w:rPr>
          <w:rFonts w:ascii="Book Antiqua" w:hAnsi="Book Antiqua" w:cs="Times New Roman"/>
          <w:sz w:val="21"/>
          <w:szCs w:val="21"/>
        </w:rPr>
        <w:t>compar</w:t>
      </w:r>
      <w:r w:rsidR="007B7E56" w:rsidRPr="00497201">
        <w:rPr>
          <w:rFonts w:ascii="Book Antiqua" w:hAnsi="Book Antiqua" w:cs="Times New Roman"/>
          <w:sz w:val="21"/>
          <w:szCs w:val="21"/>
        </w:rPr>
        <w:t>ison with</w:t>
      </w:r>
      <w:r w:rsidR="00CE5F5B" w:rsidRPr="00497201">
        <w:rPr>
          <w:rFonts w:ascii="Book Antiqua" w:hAnsi="Book Antiqua" w:cs="Times New Roman"/>
          <w:sz w:val="21"/>
          <w:szCs w:val="21"/>
        </w:rPr>
        <w:t xml:space="preserve"> countries like Malawi, Niger, and Tanzania that have experienced the slowest growth. In many African countries however, the enrolment is quite low compared to other countries in other regions of the world as indicated in Figure 3.</w:t>
      </w:r>
    </w:p>
    <w:p w:rsidR="0001145B" w:rsidRPr="00497201" w:rsidRDefault="0001145B" w:rsidP="00865558">
      <w:pPr>
        <w:spacing w:after="0" w:line="240" w:lineRule="auto"/>
        <w:jc w:val="both"/>
        <w:rPr>
          <w:rFonts w:ascii="Book Antiqua" w:hAnsi="Book Antiqua" w:cs="Times New Roman"/>
          <w:sz w:val="21"/>
          <w:szCs w:val="21"/>
        </w:rPr>
      </w:pPr>
    </w:p>
    <w:p w:rsidR="00CE5F5B" w:rsidRPr="00497201" w:rsidRDefault="00CE5F5B" w:rsidP="00865558">
      <w:pPr>
        <w:autoSpaceDE w:val="0"/>
        <w:autoSpaceDN w:val="0"/>
        <w:adjustRightInd w:val="0"/>
        <w:spacing w:after="0" w:line="240" w:lineRule="auto"/>
        <w:jc w:val="both"/>
        <w:rPr>
          <w:rFonts w:ascii="Book Antiqua" w:hAnsi="Book Antiqua" w:cs="Times New Roman"/>
          <w:sz w:val="21"/>
          <w:szCs w:val="21"/>
        </w:rPr>
      </w:pPr>
      <w:r w:rsidRPr="00497201">
        <w:rPr>
          <w:rFonts w:ascii="Book Antiqua" w:hAnsi="Book Antiqua" w:cs="Times New Roman"/>
          <w:noProof/>
          <w:sz w:val="21"/>
          <w:szCs w:val="21"/>
          <w:lang w:eastAsia="en-GB"/>
        </w:rPr>
        <w:drawing>
          <wp:inline distT="0" distB="0" distL="0" distR="0">
            <wp:extent cx="4362450" cy="1924050"/>
            <wp:effectExtent l="19050" t="0" r="19050" b="0"/>
            <wp:docPr id="4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145B" w:rsidRPr="00497201" w:rsidRDefault="0001145B" w:rsidP="0001145B">
      <w:pPr>
        <w:spacing w:after="0" w:line="240" w:lineRule="auto"/>
        <w:jc w:val="both"/>
        <w:rPr>
          <w:rFonts w:ascii="Book Antiqua" w:hAnsi="Book Antiqua" w:cs="Times New Roman"/>
          <w:b/>
          <w:sz w:val="21"/>
          <w:szCs w:val="21"/>
        </w:rPr>
      </w:pPr>
    </w:p>
    <w:p w:rsidR="0001145B" w:rsidRPr="00497201" w:rsidRDefault="0001145B" w:rsidP="0001145B">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Figure 3: Gross Enrolment Ratio for tertiary education in SSA</w:t>
      </w:r>
    </w:p>
    <w:p w:rsidR="00CE5F5B" w:rsidRPr="00497201" w:rsidRDefault="00CE5F5B" w:rsidP="00865558">
      <w:pPr>
        <w:spacing w:after="0" w:line="240" w:lineRule="auto"/>
        <w:jc w:val="both"/>
        <w:rPr>
          <w:rFonts w:ascii="Book Antiqua" w:hAnsi="Book Antiqua" w:cs="Times New Roman"/>
          <w:b/>
          <w:sz w:val="20"/>
          <w:szCs w:val="20"/>
        </w:rPr>
      </w:pPr>
      <w:r w:rsidRPr="00497201">
        <w:rPr>
          <w:rFonts w:ascii="Book Antiqua" w:hAnsi="Book Antiqua" w:cs="Times New Roman"/>
          <w:b/>
          <w:sz w:val="20"/>
          <w:szCs w:val="20"/>
        </w:rPr>
        <w:t>Data source: UNESCO Institute of Statistics, GED 2010</w:t>
      </w:r>
    </w:p>
    <w:p w:rsidR="00CE5F5B" w:rsidRPr="00497201" w:rsidRDefault="00CE5F5B" w:rsidP="00865558">
      <w:pPr>
        <w:spacing w:after="0" w:line="240" w:lineRule="auto"/>
        <w:jc w:val="both"/>
        <w:rPr>
          <w:rFonts w:ascii="Book Antiqua" w:hAnsi="Book Antiqua" w:cs="Times New Roman"/>
          <w:sz w:val="21"/>
          <w:szCs w:val="21"/>
        </w:rPr>
      </w:pPr>
    </w:p>
    <w:p w:rsidR="00CE5F5B" w:rsidRPr="00497201" w:rsidRDefault="000114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lastRenderedPageBreak/>
        <w:tab/>
      </w:r>
      <w:r w:rsidR="00484B5F" w:rsidRPr="00497201">
        <w:rPr>
          <w:rFonts w:ascii="Book Antiqua" w:hAnsi="Book Antiqua" w:cs="Times New Roman"/>
          <w:sz w:val="21"/>
          <w:szCs w:val="21"/>
        </w:rPr>
        <w:t xml:space="preserve">As a result </w:t>
      </w:r>
      <w:r w:rsidR="00CE5F5B" w:rsidRPr="00497201">
        <w:rPr>
          <w:rFonts w:ascii="Book Antiqua" w:hAnsi="Book Antiqua" w:cs="Times New Roman"/>
          <w:sz w:val="21"/>
          <w:szCs w:val="21"/>
        </w:rPr>
        <w:t xml:space="preserve">of poor statistical data collections methods in African countries, evolution of African universities overtime is difficult to examine and analyze. Enrolment and drop-out rates are difficult to document. Educational systems differ from one African country-to another and challenges affecting each country’s higher education are unique to each specific country. However, tertiary education in the continent face common problems including but not limited to </w:t>
      </w:r>
      <w:r w:rsidR="00484B5F" w:rsidRPr="00497201">
        <w:rPr>
          <w:rFonts w:ascii="Book Antiqua" w:hAnsi="Book Antiqua" w:cs="Times New Roman"/>
          <w:sz w:val="21"/>
          <w:szCs w:val="21"/>
        </w:rPr>
        <w:t xml:space="preserve">the </w:t>
      </w:r>
      <w:r w:rsidR="00CE5F5B" w:rsidRPr="00497201">
        <w:rPr>
          <w:rFonts w:ascii="Book Antiqua" w:hAnsi="Book Antiqua" w:cs="Times New Roman"/>
          <w:sz w:val="21"/>
          <w:szCs w:val="21"/>
        </w:rPr>
        <w:t xml:space="preserve">inability to access higher education, poor governance, and inapplicable policies. Recent developments in </w:t>
      </w:r>
      <w:r w:rsidR="00484B5F" w:rsidRPr="00497201">
        <w:rPr>
          <w:rFonts w:ascii="Book Antiqua" w:hAnsi="Book Antiqua" w:cs="Times New Roman"/>
          <w:sz w:val="21"/>
          <w:szCs w:val="21"/>
        </w:rPr>
        <w:t xml:space="preserve">the </w:t>
      </w:r>
      <w:r w:rsidR="00CE5F5B" w:rsidRPr="00497201">
        <w:rPr>
          <w:rFonts w:ascii="Book Antiqua" w:hAnsi="Book Antiqua" w:cs="Times New Roman"/>
          <w:sz w:val="21"/>
          <w:szCs w:val="21"/>
        </w:rPr>
        <w:t>education sector show a shift toward</w:t>
      </w:r>
      <w:r w:rsidR="00484B5F" w:rsidRPr="00497201">
        <w:rPr>
          <w:rFonts w:ascii="Book Antiqua" w:hAnsi="Book Antiqua" w:cs="Times New Roman"/>
          <w:sz w:val="21"/>
          <w:szCs w:val="21"/>
        </w:rPr>
        <w:t>s</w:t>
      </w:r>
      <w:r w:rsidR="00CE5F5B" w:rsidRPr="00497201">
        <w:rPr>
          <w:rFonts w:ascii="Book Antiqua" w:hAnsi="Book Antiqua" w:cs="Times New Roman"/>
          <w:sz w:val="21"/>
          <w:szCs w:val="21"/>
        </w:rPr>
        <w:t xml:space="preserve"> higher education as indicated in the report of the Commission for Africa, which marks the clearest signal </w:t>
      </w:r>
      <w:r w:rsidR="00484B5F" w:rsidRPr="00497201">
        <w:rPr>
          <w:rFonts w:ascii="Book Antiqua" w:hAnsi="Book Antiqua" w:cs="Times New Roman"/>
          <w:sz w:val="21"/>
          <w:szCs w:val="21"/>
        </w:rPr>
        <w:t xml:space="preserve">that </w:t>
      </w:r>
      <w:r w:rsidR="00CE5F5B" w:rsidRPr="00497201">
        <w:rPr>
          <w:rFonts w:ascii="Book Antiqua" w:hAnsi="Book Antiqua" w:cs="Times New Roman"/>
          <w:sz w:val="21"/>
          <w:szCs w:val="21"/>
        </w:rPr>
        <w:t>communities both national and international have recognized higher education’s value for development in Africa. The role of higher education in Africa’s development is clearly outlined by</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Eshiwani (1999), who argues that it is imperative that the university in Africa continues to demonstrate its relevance to local problems. A combination of top–down, bottom–up and inside–out processes seems possible in any higher institution that has ideals to be a true learning organization. Marquardt (1996, p. 218) contends that it is possible for actors in higher education in collaboration with the government and the community to be an awareness-enhancing agent or an advocate for new competence development and thus both top–down and bottom–up initiatives are made possible. </w:t>
      </w:r>
    </w:p>
    <w:p w:rsidR="0001145B" w:rsidRPr="00497201" w:rsidRDefault="0001145B" w:rsidP="00865558">
      <w:pPr>
        <w:spacing w:after="0" w:line="240" w:lineRule="auto"/>
        <w:jc w:val="both"/>
        <w:rPr>
          <w:rFonts w:ascii="Book Antiqua" w:hAnsi="Book Antiqua" w:cs="Times New Roman"/>
          <w:sz w:val="21"/>
          <w:szCs w:val="21"/>
        </w:rPr>
      </w:pPr>
    </w:p>
    <w:p w:rsidR="00CE5F5B" w:rsidRPr="00497201" w:rsidRDefault="000114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Needless to say, the present structure and functioning of higher education institutions in many developing countries, especially in Sub-Saharan Africa, weakened by financial and institutional handicaps, would not promise easy realization of such a role (Eshiwani, 1999; Bor</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&amp; Shute, 1991 and Teferra</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&amp;</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Altbach, 2003).</w:t>
      </w:r>
    </w:p>
    <w:p w:rsidR="0001145B" w:rsidRPr="00497201" w:rsidRDefault="0001145B" w:rsidP="00865558">
      <w:pPr>
        <w:spacing w:after="0" w:line="240" w:lineRule="auto"/>
        <w:jc w:val="both"/>
        <w:rPr>
          <w:rFonts w:ascii="Book Antiqua" w:hAnsi="Book Antiqua" w:cs="Times New Roman"/>
          <w:sz w:val="21"/>
          <w:szCs w:val="21"/>
        </w:rPr>
      </w:pPr>
    </w:p>
    <w:p w:rsidR="00CE5F5B" w:rsidRPr="00497201" w:rsidRDefault="0001145B" w:rsidP="00865558">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Problems Facing African Universities – “Survival and Relevance" Crisis</w:t>
      </w:r>
    </w:p>
    <w:p w:rsidR="0001145B" w:rsidRPr="00497201" w:rsidRDefault="0001145B" w:rsidP="00865558">
      <w:pPr>
        <w:spacing w:after="0" w:line="240" w:lineRule="auto"/>
        <w:jc w:val="both"/>
        <w:rPr>
          <w:rFonts w:ascii="Book Antiqua" w:hAnsi="Book Antiqua" w:cs="Times New Roman"/>
          <w:sz w:val="21"/>
          <w:szCs w:val="21"/>
        </w:rPr>
      </w:pPr>
    </w:p>
    <w:p w:rsidR="0025647E" w:rsidRPr="00497201" w:rsidRDefault="000114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Higher education in Africa is confronted with serious financial, epistemological, political, structural and ethical challenges that together reduce their ability to effectively tackle the challenge of sustainable development (UNESCO, 2004). These challenges need to be overcome if higher education institutions are to become more accountable for economic, environmental and human development. The universities are key agents in any strategy for improving sustainable development in Africa. Higher education in Africa faces a host of challenges and opportunities in the context of international developments. African higher education has </w:t>
      </w:r>
      <w:r w:rsidR="00CE5F5B" w:rsidRPr="00497201">
        <w:rPr>
          <w:rFonts w:ascii="Book Antiqua" w:hAnsi="Book Antiqua" w:cs="Times New Roman"/>
          <w:sz w:val="21"/>
          <w:szCs w:val="21"/>
        </w:rPr>
        <w:lastRenderedPageBreak/>
        <w:t>evolved overtime during and after colonization. Before colonization, the first forms of internationalization of higher education took place in the form of physical mobility of scholars and students crossing regions and borders for higher learning and scholarships. These forms of internationalizing higher education learning were replaced by new education systems that were imposed by the colonial powers. The intention of expanding education in the colonies was not meant to educate the colonial subjects but to serve the interests of the colonizing elements in the colonies</w:t>
      </w:r>
      <w:r w:rsidR="0025647E" w:rsidRPr="00497201">
        <w:rPr>
          <w:rFonts w:ascii="Book Antiqua" w:hAnsi="Book Antiqua" w:cs="Times New Roman"/>
          <w:sz w:val="21"/>
          <w:szCs w:val="21"/>
        </w:rPr>
        <w:t xml:space="preserve"> </w:t>
      </w:r>
      <w:r w:rsidR="00CE5F5B" w:rsidRPr="00497201">
        <w:rPr>
          <w:rFonts w:ascii="Book Antiqua" w:hAnsi="Book Antiqua" w:cs="Times New Roman"/>
          <w:sz w:val="21"/>
          <w:szCs w:val="21"/>
        </w:rPr>
        <w:t>(Knight, 2006).</w:t>
      </w:r>
    </w:p>
    <w:p w:rsidR="00CE5F5B" w:rsidRPr="00497201" w:rsidRDefault="0025647E"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 other form of internationalization of higher education –Europeanization of higher education in Africa – was imposed directly from Europe through government supported initiatives like the Phelps-Stoke Commission. The language of instruction, program</w:t>
      </w:r>
      <w:r w:rsidR="00C67B7D" w:rsidRPr="00497201">
        <w:rPr>
          <w:rFonts w:ascii="Book Antiqua" w:hAnsi="Book Antiqua" w:cs="Times New Roman"/>
          <w:sz w:val="21"/>
          <w:szCs w:val="21"/>
        </w:rPr>
        <w:t>me</w:t>
      </w:r>
      <w:r w:rsidR="00CE5F5B" w:rsidRPr="00497201">
        <w:rPr>
          <w:rFonts w:ascii="Book Antiqua" w:hAnsi="Book Antiqua" w:cs="Times New Roman"/>
          <w:sz w:val="21"/>
          <w:szCs w:val="21"/>
        </w:rPr>
        <w:t xml:space="preserve">s, and curriculum, governance, books reflected the vested interests of the colonial powers. Today, all countries in Africa use the colonial language as a medium of instruction and this remains one of the key components of internationalization of higher education in the continent (Knight, 2006; Knight, 2005; Teferra, 2005). In the context of higher education internationalization and inter-university collaboration, African universities are faced </w:t>
      </w:r>
      <w:r w:rsidR="00C67B7D" w:rsidRPr="00497201">
        <w:rPr>
          <w:rFonts w:ascii="Book Antiqua" w:hAnsi="Book Antiqua" w:cs="Times New Roman"/>
          <w:sz w:val="21"/>
          <w:szCs w:val="21"/>
        </w:rPr>
        <w:t>with</w:t>
      </w:r>
      <w:r w:rsidR="00E964BB" w:rsidRPr="00497201">
        <w:rPr>
          <w:rFonts w:ascii="Book Antiqua" w:hAnsi="Book Antiqua" w:cs="Times New Roman"/>
          <w:sz w:val="21"/>
          <w:szCs w:val="21"/>
        </w:rPr>
        <w:t xml:space="preserve"> </w:t>
      </w:r>
      <w:r w:rsidR="00CE5F5B" w:rsidRPr="00497201">
        <w:rPr>
          <w:rFonts w:ascii="Book Antiqua" w:hAnsi="Book Antiqua" w:cs="Times New Roman"/>
          <w:sz w:val="21"/>
          <w:szCs w:val="21"/>
        </w:rPr>
        <w:t>two key challenges in their quest to support Africa’s developmental agenda:</w:t>
      </w:r>
    </w:p>
    <w:p w:rsidR="0025647E" w:rsidRPr="00497201" w:rsidRDefault="0025647E" w:rsidP="0025647E">
      <w:pPr>
        <w:spacing w:after="0" w:line="240" w:lineRule="auto"/>
        <w:jc w:val="both"/>
        <w:rPr>
          <w:rFonts w:ascii="Book Antiqua" w:hAnsi="Book Antiqua" w:cs="Times New Roman"/>
          <w:b/>
          <w:sz w:val="21"/>
          <w:szCs w:val="21"/>
        </w:rPr>
      </w:pPr>
    </w:p>
    <w:p w:rsidR="00CE5F5B" w:rsidRPr="00497201" w:rsidRDefault="00CE5F5B" w:rsidP="0025647E">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The Challenges for Survival and Relevance</w:t>
      </w:r>
    </w:p>
    <w:p w:rsidR="0025647E" w:rsidRPr="00497201" w:rsidRDefault="0025647E" w:rsidP="00865558">
      <w:pPr>
        <w:spacing w:after="0" w:line="240" w:lineRule="auto"/>
        <w:jc w:val="both"/>
        <w:rPr>
          <w:rFonts w:ascii="Book Antiqua" w:hAnsi="Book Antiqua" w:cs="Times New Roman"/>
          <w:sz w:val="21"/>
          <w:szCs w:val="21"/>
        </w:rPr>
      </w:pPr>
    </w:p>
    <w:p w:rsidR="00CE5F5B" w:rsidRPr="00497201" w:rsidRDefault="00F96FD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 following are the survival and relevance challenges that affect higher education for sustainable development in Africa:</w:t>
      </w:r>
    </w:p>
    <w:p w:rsidR="00F96FDB" w:rsidRPr="00497201" w:rsidRDefault="00F96FDB" w:rsidP="00F96FDB">
      <w:pPr>
        <w:spacing w:after="0" w:line="240" w:lineRule="auto"/>
        <w:jc w:val="both"/>
        <w:rPr>
          <w:rFonts w:ascii="Book Antiqua" w:hAnsi="Book Antiqua" w:cs="Times New Roman"/>
          <w:b/>
          <w:sz w:val="21"/>
          <w:szCs w:val="21"/>
        </w:rPr>
      </w:pPr>
    </w:p>
    <w:p w:rsidR="00CE5F5B" w:rsidRPr="00497201" w:rsidRDefault="00BE1132" w:rsidP="00C67B7D">
      <w:pPr>
        <w:pStyle w:val="ListParagraph"/>
        <w:numPr>
          <w:ilvl w:val="0"/>
          <w:numId w:val="3"/>
        </w:numPr>
        <w:spacing w:after="0" w:line="240" w:lineRule="auto"/>
        <w:jc w:val="both"/>
        <w:rPr>
          <w:rFonts w:ascii="Book Antiqua" w:hAnsi="Book Antiqua" w:cs="Times New Roman"/>
          <w:b/>
          <w:i/>
          <w:sz w:val="21"/>
          <w:szCs w:val="21"/>
        </w:rPr>
      </w:pPr>
      <w:r w:rsidRPr="00497201">
        <w:rPr>
          <w:rFonts w:ascii="Book Antiqua" w:hAnsi="Book Antiqua" w:cs="Times New Roman"/>
          <w:b/>
          <w:i/>
          <w:sz w:val="21"/>
          <w:szCs w:val="21"/>
        </w:rPr>
        <w:t>The Global Policy in H</w:t>
      </w:r>
      <w:r w:rsidR="00CE5F5B" w:rsidRPr="00497201">
        <w:rPr>
          <w:rFonts w:ascii="Book Antiqua" w:hAnsi="Book Antiqua" w:cs="Times New Roman"/>
          <w:b/>
          <w:i/>
          <w:sz w:val="21"/>
          <w:szCs w:val="21"/>
        </w:rPr>
        <w:t xml:space="preserve">igher </w:t>
      </w:r>
      <w:r w:rsidRPr="00497201">
        <w:rPr>
          <w:rFonts w:ascii="Book Antiqua" w:hAnsi="Book Antiqua" w:cs="Times New Roman"/>
          <w:b/>
          <w:i/>
          <w:sz w:val="21"/>
          <w:szCs w:val="21"/>
        </w:rPr>
        <w:t>E</w:t>
      </w:r>
      <w:r w:rsidR="00CE5F5B" w:rsidRPr="00497201">
        <w:rPr>
          <w:rFonts w:ascii="Book Antiqua" w:hAnsi="Book Antiqua" w:cs="Times New Roman"/>
          <w:b/>
          <w:i/>
          <w:sz w:val="21"/>
          <w:szCs w:val="21"/>
        </w:rPr>
        <w:t>ducation</w:t>
      </w:r>
    </w:p>
    <w:p w:rsidR="00F96FDB" w:rsidRPr="00497201" w:rsidRDefault="00F96FDB" w:rsidP="00865558">
      <w:pPr>
        <w:spacing w:after="0" w:line="240" w:lineRule="auto"/>
        <w:jc w:val="both"/>
        <w:rPr>
          <w:rFonts w:ascii="Book Antiqua" w:hAnsi="Book Antiqua" w:cs="Times New Roman"/>
          <w:sz w:val="21"/>
          <w:szCs w:val="21"/>
        </w:rPr>
      </w:pPr>
    </w:p>
    <w:p w:rsidR="00CE5F5B" w:rsidRPr="00497201" w:rsidRDefault="00F96FD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Higher education in Africa has been shaped and influenced by the World Bank and UNESCO policies on higher education (Teferra, 2005). These policies have had a dramatic impact on higher education in the continent. As Leslie (1990) argues, “over the past 30 years, studies of rate of return to higher education probably have impacted higher education financing policy more than any other information produced by researchers”. Measures on higher education by </w:t>
      </w:r>
      <w:r w:rsidR="00C67B7D" w:rsidRPr="00497201">
        <w:rPr>
          <w:rFonts w:ascii="Book Antiqua" w:hAnsi="Book Antiqua" w:cs="Times New Roman"/>
          <w:sz w:val="21"/>
          <w:szCs w:val="21"/>
        </w:rPr>
        <w:t xml:space="preserve">the </w:t>
      </w:r>
      <w:r w:rsidR="00CE5F5B" w:rsidRPr="00497201">
        <w:rPr>
          <w:rFonts w:ascii="Book Antiqua" w:hAnsi="Book Antiqua" w:cs="Times New Roman"/>
          <w:sz w:val="21"/>
          <w:szCs w:val="21"/>
        </w:rPr>
        <w:t xml:space="preserve">World Bank and other international organizations have had a major impact on policy development, planning, implementation, and welfare of regional and national institutions. These policies had to be complied by the countries so as to qualify to borrow money to support their higher education systems </w:t>
      </w:r>
      <w:r w:rsidR="00CE5F5B" w:rsidRPr="00497201">
        <w:rPr>
          <w:rFonts w:ascii="Book Antiqua" w:hAnsi="Book Antiqua" w:cs="Times New Roman"/>
          <w:sz w:val="21"/>
          <w:szCs w:val="21"/>
        </w:rPr>
        <w:lastRenderedPageBreak/>
        <w:t xml:space="preserve">(Knight, 2006). This is because credit worthiness became conditional upon accepting to implement the set reforms (Stiglitz, 2006). African governments therefore had to make sweeping changes to higher education to align institutional policies along the lines of international regimes, and this has led to a decline </w:t>
      </w:r>
      <w:r w:rsidR="00E964BB" w:rsidRPr="00497201">
        <w:rPr>
          <w:rFonts w:ascii="Book Antiqua" w:hAnsi="Book Antiqua" w:cs="Times New Roman"/>
          <w:sz w:val="21"/>
          <w:szCs w:val="21"/>
        </w:rPr>
        <w:t>in</w:t>
      </w:r>
      <w:r w:rsidR="00CE5F5B" w:rsidRPr="00497201">
        <w:rPr>
          <w:rFonts w:ascii="Book Antiqua" w:hAnsi="Book Antiqua" w:cs="Times New Roman"/>
          <w:sz w:val="21"/>
          <w:szCs w:val="21"/>
        </w:rPr>
        <w:t xml:space="preserve"> the quality of Africa’s higher education system.</w:t>
      </w:r>
    </w:p>
    <w:p w:rsidR="00F96FDB" w:rsidRPr="00497201" w:rsidRDefault="00F96FDB" w:rsidP="00865558">
      <w:pPr>
        <w:spacing w:after="0" w:line="240" w:lineRule="auto"/>
        <w:jc w:val="both"/>
        <w:rPr>
          <w:rFonts w:ascii="Book Antiqua" w:hAnsi="Book Antiqua" w:cs="Times New Roman"/>
          <w:sz w:val="21"/>
          <w:szCs w:val="21"/>
        </w:rPr>
      </w:pPr>
    </w:p>
    <w:p w:rsidR="00CE5F5B" w:rsidRPr="00497201" w:rsidRDefault="00BE1132" w:rsidP="00F96FDB">
      <w:pPr>
        <w:spacing w:after="0" w:line="240" w:lineRule="auto"/>
        <w:jc w:val="both"/>
        <w:rPr>
          <w:rFonts w:ascii="Book Antiqua" w:hAnsi="Book Antiqua" w:cs="Times New Roman"/>
          <w:b/>
          <w:i/>
          <w:sz w:val="21"/>
          <w:szCs w:val="21"/>
        </w:rPr>
      </w:pPr>
      <w:r w:rsidRPr="00497201">
        <w:rPr>
          <w:rFonts w:ascii="Book Antiqua" w:hAnsi="Book Antiqua" w:cs="Times New Roman"/>
          <w:b/>
          <w:i/>
          <w:sz w:val="21"/>
          <w:szCs w:val="21"/>
        </w:rPr>
        <w:t>Funding of Higher E</w:t>
      </w:r>
      <w:r w:rsidR="00CE5F5B" w:rsidRPr="00497201">
        <w:rPr>
          <w:rFonts w:ascii="Book Antiqua" w:hAnsi="Book Antiqua" w:cs="Times New Roman"/>
          <w:b/>
          <w:i/>
          <w:sz w:val="21"/>
          <w:szCs w:val="21"/>
        </w:rPr>
        <w:t>ducation</w:t>
      </w:r>
    </w:p>
    <w:p w:rsidR="00F96FDB" w:rsidRPr="00497201" w:rsidRDefault="00F96FDB" w:rsidP="00865558">
      <w:pPr>
        <w:spacing w:after="0" w:line="240" w:lineRule="auto"/>
        <w:jc w:val="both"/>
        <w:rPr>
          <w:rFonts w:ascii="Book Antiqua" w:hAnsi="Book Antiqua" w:cs="Times New Roman"/>
          <w:sz w:val="21"/>
          <w:szCs w:val="21"/>
        </w:rPr>
      </w:pPr>
    </w:p>
    <w:p w:rsidR="00CE5F5B" w:rsidRPr="00497201" w:rsidRDefault="00F96FD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814CC4" w:rsidRPr="00497201">
        <w:rPr>
          <w:rFonts w:ascii="Book Antiqua" w:hAnsi="Book Antiqua" w:cs="Times New Roman"/>
          <w:sz w:val="21"/>
          <w:szCs w:val="21"/>
        </w:rPr>
        <w:t>The financing of higher education from a global perspective has a direct impact on higher education funding policies at country level as shown in Figure 3. Financing higher education in the</w:t>
      </w:r>
      <w:r w:rsidR="00814CC4">
        <w:rPr>
          <w:rFonts w:ascii="Book Antiqua" w:hAnsi="Book Antiqua" w:cs="Times New Roman" w:hint="eastAsia"/>
          <w:sz w:val="21"/>
          <w:szCs w:val="21"/>
        </w:rPr>
        <w:t xml:space="preserve"> global</w:t>
      </w:r>
      <w:r w:rsidR="00814CC4">
        <w:rPr>
          <w:rFonts w:ascii="Book Antiqua" w:hAnsi="Book Antiqua" w:cs="Times New Roman"/>
          <w:sz w:val="21"/>
          <w:szCs w:val="21"/>
        </w:rPr>
        <w:t xml:space="preserve"> </w:t>
      </w:r>
      <w:r w:rsidR="00814CC4" w:rsidRPr="00EA5B25">
        <w:rPr>
          <w:rFonts w:ascii="Book Antiqua" w:hAnsi="Book Antiqua" w:cs="Times New Roman"/>
          <w:sz w:val="21"/>
          <w:szCs w:val="21"/>
        </w:rPr>
        <w:t>North</w:t>
      </w:r>
      <w:r w:rsidR="00814CC4" w:rsidRPr="00497201">
        <w:rPr>
          <w:rFonts w:ascii="Book Antiqua" w:hAnsi="Book Antiqua" w:cs="Times New Roman"/>
          <w:sz w:val="21"/>
          <w:szCs w:val="21"/>
        </w:rPr>
        <w:t xml:space="preserve"> to support these policies means that African higher education has to accept the policies to fit well in the global arena. </w:t>
      </w:r>
      <w:r w:rsidR="00814CC4">
        <w:rPr>
          <w:rFonts w:ascii="Book Antiqua" w:hAnsi="Book Antiqua" w:cs="Times New Roman" w:hint="eastAsia"/>
          <w:sz w:val="21"/>
          <w:szCs w:val="21"/>
        </w:rPr>
        <w:t>The policies of developed countries</w:t>
      </w:r>
      <w:r w:rsidR="00814CC4">
        <w:rPr>
          <w:rFonts w:ascii="Book Antiqua" w:hAnsi="Book Antiqua" w:cs="Times New Roman"/>
          <w:sz w:val="21"/>
          <w:szCs w:val="21"/>
        </w:rPr>
        <w:t xml:space="preserve"> </w:t>
      </w:r>
      <w:r w:rsidR="00814CC4" w:rsidRPr="00497201">
        <w:rPr>
          <w:rFonts w:ascii="Book Antiqua" w:hAnsi="Book Antiqua" w:cs="Times New Roman"/>
          <w:sz w:val="21"/>
          <w:szCs w:val="21"/>
        </w:rPr>
        <w:t>towar</w:t>
      </w:r>
      <w:r w:rsidR="00814CC4">
        <w:rPr>
          <w:rFonts w:ascii="Book Antiqua" w:hAnsi="Book Antiqua" w:cs="Times New Roman"/>
          <w:sz w:val="21"/>
          <w:szCs w:val="21"/>
        </w:rPr>
        <w:t xml:space="preserve">ds African higher education do </w:t>
      </w:r>
      <w:r w:rsidR="00814CC4" w:rsidRPr="00497201">
        <w:rPr>
          <w:rFonts w:ascii="Book Antiqua" w:hAnsi="Book Antiqua" w:cs="Times New Roman"/>
          <w:sz w:val="21"/>
          <w:szCs w:val="21"/>
        </w:rPr>
        <w:t xml:space="preserve">not support </w:t>
      </w:r>
      <w:r w:rsidR="00814CC4">
        <w:rPr>
          <w:rFonts w:ascii="Book Antiqua" w:hAnsi="Book Antiqua" w:cs="Times New Roman" w:hint="eastAsia"/>
          <w:sz w:val="21"/>
          <w:szCs w:val="21"/>
        </w:rPr>
        <w:t>affordable</w:t>
      </w:r>
      <w:r w:rsidR="00814CC4" w:rsidRPr="00497201">
        <w:rPr>
          <w:rFonts w:ascii="Book Antiqua" w:hAnsi="Book Antiqua" w:cs="Times New Roman"/>
          <w:sz w:val="21"/>
          <w:szCs w:val="21"/>
        </w:rPr>
        <w:t xml:space="preserve"> education, and therefore, higher education is left to the top cream in the African society. This is because the costs of higher education in the continent are passed to the students and their guardians (Jonson &amp;</w:t>
      </w:r>
      <w:r w:rsidR="00073C00">
        <w:rPr>
          <w:rFonts w:ascii="Book Antiqua" w:hAnsi="Book Antiqua" w:cs="Times New Roman"/>
          <w:sz w:val="21"/>
          <w:szCs w:val="21"/>
        </w:rPr>
        <w:t xml:space="preserve"> </w:t>
      </w:r>
      <w:r w:rsidR="00814CC4" w:rsidRPr="00497201">
        <w:rPr>
          <w:rFonts w:ascii="Book Antiqua" w:hAnsi="Book Antiqua" w:cs="Times New Roman"/>
          <w:sz w:val="21"/>
          <w:szCs w:val="21"/>
        </w:rPr>
        <w:t>Teferra, 2004). With the challenge of lack of enough facilities to absorb the overwhelming demand for higher education in Africa, most institutions of higher education have resorted to generating more resources, demanding that beneficiaries pay for services, and promulgating national policies to introduce loan schemes (Knight, 2006). Internationally, higher education institutions have received support to implement these national and strategic planning schemes.</w:t>
      </w:r>
    </w:p>
    <w:p w:rsidR="00E93E73" w:rsidRPr="00497201" w:rsidRDefault="00E93E73" w:rsidP="00865558">
      <w:pPr>
        <w:spacing w:after="0" w:line="240" w:lineRule="auto"/>
        <w:jc w:val="both"/>
        <w:rPr>
          <w:rFonts w:ascii="Book Antiqua" w:hAnsi="Book Antiqua" w:cs="Times New Roman"/>
          <w:sz w:val="21"/>
          <w:szCs w:val="21"/>
        </w:rPr>
      </w:pP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noProof/>
          <w:sz w:val="21"/>
          <w:szCs w:val="21"/>
          <w:lang w:eastAsia="en-GB"/>
        </w:rPr>
        <w:drawing>
          <wp:inline distT="0" distB="0" distL="0" distR="0">
            <wp:extent cx="4343400" cy="1990725"/>
            <wp:effectExtent l="19050" t="0" r="0" b="0"/>
            <wp:docPr id="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52315" cy="1994811"/>
                    </a:xfrm>
                    <a:prstGeom prst="rect">
                      <a:avLst/>
                    </a:prstGeom>
                    <a:noFill/>
                  </pic:spPr>
                </pic:pic>
              </a:graphicData>
            </a:graphic>
          </wp:inline>
        </w:drawing>
      </w:r>
    </w:p>
    <w:p w:rsidR="00C737CB" w:rsidRPr="00497201" w:rsidRDefault="00C737CB" w:rsidP="00C737CB">
      <w:pPr>
        <w:autoSpaceDE w:val="0"/>
        <w:autoSpaceDN w:val="0"/>
        <w:adjustRightInd w:val="0"/>
        <w:spacing w:after="0" w:line="240" w:lineRule="auto"/>
        <w:jc w:val="both"/>
        <w:rPr>
          <w:rFonts w:ascii="Book Antiqua" w:hAnsi="Book Antiqua" w:cs="Times New Roman"/>
          <w:b/>
          <w:sz w:val="21"/>
          <w:szCs w:val="21"/>
        </w:rPr>
      </w:pPr>
    </w:p>
    <w:p w:rsidR="00C737CB" w:rsidRPr="00497201" w:rsidRDefault="00413B64" w:rsidP="00C737CB">
      <w:pPr>
        <w:autoSpaceDE w:val="0"/>
        <w:autoSpaceDN w:val="0"/>
        <w:adjustRightInd w:val="0"/>
        <w:spacing w:after="0" w:line="240" w:lineRule="auto"/>
        <w:jc w:val="both"/>
        <w:rPr>
          <w:rFonts w:ascii="Book Antiqua" w:hAnsi="Book Antiqua" w:cs="Times New Roman"/>
          <w:b/>
          <w:sz w:val="21"/>
          <w:szCs w:val="21"/>
        </w:rPr>
      </w:pPr>
      <w:r>
        <w:rPr>
          <w:rFonts w:ascii="Book Antiqua" w:hAnsi="Book Antiqua" w:cs="Times New Roman"/>
          <w:b/>
          <w:sz w:val="21"/>
          <w:szCs w:val="21"/>
        </w:rPr>
        <w:t>Figure 4</w:t>
      </w:r>
      <w:r w:rsidR="00C737CB" w:rsidRPr="00497201">
        <w:rPr>
          <w:rFonts w:ascii="Book Antiqua" w:hAnsi="Book Antiqua" w:cs="Times New Roman"/>
          <w:b/>
          <w:sz w:val="21"/>
          <w:szCs w:val="21"/>
        </w:rPr>
        <w:t>: Expenditures on Education (%) in selected countries</w:t>
      </w:r>
    </w:p>
    <w:p w:rsidR="00C737CB" w:rsidRPr="00497201" w:rsidRDefault="00CE5F5B" w:rsidP="00865558">
      <w:pPr>
        <w:spacing w:after="0" w:line="240" w:lineRule="auto"/>
        <w:jc w:val="both"/>
        <w:rPr>
          <w:rFonts w:ascii="Book Antiqua" w:hAnsi="Book Antiqua" w:cs="Times New Roman"/>
          <w:b/>
          <w:sz w:val="20"/>
          <w:szCs w:val="20"/>
        </w:rPr>
      </w:pPr>
      <w:r w:rsidRPr="00497201">
        <w:rPr>
          <w:rFonts w:ascii="Book Antiqua" w:hAnsi="Book Antiqua" w:cs="Times New Roman"/>
          <w:b/>
          <w:sz w:val="20"/>
          <w:szCs w:val="20"/>
        </w:rPr>
        <w:t>Source: Compiled using statistics from UNESCO database</w:t>
      </w:r>
    </w:p>
    <w:p w:rsidR="00CE5F5B" w:rsidRPr="00497201" w:rsidRDefault="00C737C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lastRenderedPageBreak/>
        <w:tab/>
      </w:r>
      <w:r w:rsidR="00CE5F5B" w:rsidRPr="00497201">
        <w:rPr>
          <w:rFonts w:ascii="Book Antiqua" w:hAnsi="Book Antiqua" w:cs="Times New Roman"/>
          <w:sz w:val="21"/>
          <w:szCs w:val="21"/>
        </w:rPr>
        <w:t xml:space="preserve">The development of higher education in Africa is dependent on external </w:t>
      </w:r>
      <w:r w:rsidR="00CE5F5B" w:rsidRPr="00DB19C8">
        <w:rPr>
          <w:rFonts w:ascii="Book Antiqua" w:hAnsi="Book Antiqua" w:cs="Times New Roman"/>
          <w:sz w:val="21"/>
          <w:szCs w:val="21"/>
        </w:rPr>
        <w:t xml:space="preserve">resources unlike higher education institutions in the </w:t>
      </w:r>
      <w:r w:rsidR="00814CC4" w:rsidRPr="00DB19C8">
        <w:rPr>
          <w:rFonts w:ascii="Book Antiqua" w:hAnsi="Book Antiqua" w:cs="Times New Roman"/>
          <w:sz w:val="21"/>
          <w:szCs w:val="21"/>
        </w:rPr>
        <w:t xml:space="preserve">global </w:t>
      </w:r>
      <w:r w:rsidR="00CE5F5B" w:rsidRPr="00DB19C8">
        <w:rPr>
          <w:rFonts w:ascii="Book Antiqua" w:hAnsi="Book Antiqua" w:cs="Times New Roman"/>
          <w:sz w:val="21"/>
          <w:szCs w:val="21"/>
        </w:rPr>
        <w:t>North.</w:t>
      </w:r>
      <w:r w:rsidR="00CE5F5B" w:rsidRPr="00497201">
        <w:rPr>
          <w:rFonts w:ascii="Book Antiqua" w:hAnsi="Book Antiqua" w:cs="Times New Roman"/>
          <w:sz w:val="21"/>
          <w:szCs w:val="21"/>
        </w:rPr>
        <w:t xml:space="preserve"> These external sources include foreign governments, multilateral development agencies, and foreign scholarly societies (Lulat, 2003). More than 70% of research grants in Africa are externally generated (Enos, 1995).</w:t>
      </w:r>
      <w:r w:rsidR="00426A2E" w:rsidRPr="00497201">
        <w:rPr>
          <w:rFonts w:ascii="Book Antiqua" w:hAnsi="Book Antiqua" w:cs="Times New Roman"/>
          <w:sz w:val="21"/>
          <w:szCs w:val="21"/>
        </w:rPr>
        <w:t xml:space="preserve"> </w:t>
      </w:r>
      <w:r w:rsidR="00CE5F5B" w:rsidRPr="00497201">
        <w:rPr>
          <w:rFonts w:ascii="Book Antiqua" w:hAnsi="Book Antiqua" w:cs="Times New Roman"/>
          <w:sz w:val="21"/>
          <w:szCs w:val="21"/>
        </w:rPr>
        <w:t>It is common knowledge that African universities,</w:t>
      </w:r>
      <w:r w:rsidR="00383F68"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with the exception perhaps of those in South Africa, do not receive sufficient funding to carry out their core mandates of teaching, production of graduates and research. Given the limited resources they have thinly spread over academic activities, it is not surprising that African universities are taking a back seat in </w:t>
      </w:r>
      <w:r w:rsidR="00E964BB" w:rsidRPr="00497201">
        <w:rPr>
          <w:rFonts w:ascii="Book Antiqua" w:hAnsi="Book Antiqua" w:cs="Times New Roman"/>
          <w:sz w:val="21"/>
          <w:szCs w:val="21"/>
        </w:rPr>
        <w:t xml:space="preserve">the </w:t>
      </w:r>
      <w:r w:rsidR="00CE5F5B" w:rsidRPr="00497201">
        <w:rPr>
          <w:rFonts w:ascii="Book Antiqua" w:hAnsi="Book Antiqua" w:cs="Times New Roman"/>
          <w:sz w:val="21"/>
          <w:szCs w:val="21"/>
        </w:rPr>
        <w:t xml:space="preserve">efforts on education for sustainable development. </w:t>
      </w:r>
    </w:p>
    <w:p w:rsidR="00CE5F5B" w:rsidRPr="00497201" w:rsidRDefault="00CE5F5B" w:rsidP="00865558">
      <w:pPr>
        <w:spacing w:after="0" w:line="240" w:lineRule="auto"/>
        <w:jc w:val="both"/>
        <w:rPr>
          <w:rFonts w:ascii="Book Antiqua" w:hAnsi="Book Antiqua" w:cs="Times New Roman"/>
          <w:sz w:val="21"/>
          <w:szCs w:val="21"/>
        </w:rPr>
      </w:pPr>
    </w:p>
    <w:p w:rsidR="00CE5F5B" w:rsidRPr="00497201" w:rsidRDefault="00BE1132" w:rsidP="00426A2E">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The Place of Private Education in the International C</w:t>
      </w:r>
      <w:r w:rsidR="00CE5F5B" w:rsidRPr="00497201">
        <w:rPr>
          <w:rFonts w:ascii="Book Antiqua" w:hAnsi="Book Antiqua" w:cs="Times New Roman"/>
          <w:b/>
          <w:sz w:val="21"/>
          <w:szCs w:val="21"/>
        </w:rPr>
        <w:t>ontext</w:t>
      </w:r>
    </w:p>
    <w:p w:rsidR="00426A2E" w:rsidRPr="00497201" w:rsidRDefault="00426A2E" w:rsidP="00865558">
      <w:pPr>
        <w:spacing w:after="0" w:line="240" w:lineRule="auto"/>
        <w:jc w:val="both"/>
        <w:rPr>
          <w:rFonts w:ascii="Book Antiqua" w:hAnsi="Book Antiqua" w:cs="Times New Roman"/>
          <w:sz w:val="21"/>
          <w:szCs w:val="21"/>
        </w:rPr>
      </w:pPr>
    </w:p>
    <w:p w:rsidR="00CE5F5B" w:rsidRPr="00497201" w:rsidRDefault="00426A2E"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In the recent past, there has been a rapid growth of private education providers in Africa’s higher education. This rapid growth has resulted from increased student demand for higher education access, the declining capacity of public institutions, the retrenchment of public officers, pressure by external agencies to cut public services, a growing emphasis of and need for a highly skilled labo</w:t>
      </w:r>
      <w:r w:rsidR="0085023F" w:rsidRPr="00497201">
        <w:rPr>
          <w:rFonts w:ascii="Book Antiqua" w:hAnsi="Book Antiqua" w:cs="Times New Roman"/>
          <w:sz w:val="21"/>
          <w:szCs w:val="21"/>
        </w:rPr>
        <w:t>u</w:t>
      </w:r>
      <w:r w:rsidR="00CE5F5B" w:rsidRPr="00497201">
        <w:rPr>
          <w:rFonts w:ascii="Book Antiqua" w:hAnsi="Book Antiqua" w:cs="Times New Roman"/>
          <w:sz w:val="21"/>
          <w:szCs w:val="21"/>
        </w:rPr>
        <w:t>r force largely targeting the local market, and the interest of foreign providers (Teferra</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&amp;</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Altbach, 2003). In most of the countries, the number of private institutions is greater than the public ones but the enrolment in these private institutions is 25% compared to the public ones. Most of these private education providers are domestic entities and few are international (Knight, 2006). </w:t>
      </w:r>
    </w:p>
    <w:p w:rsidR="00426A2E" w:rsidRPr="00497201" w:rsidRDefault="00426A2E" w:rsidP="00865558">
      <w:pPr>
        <w:spacing w:after="0" w:line="240" w:lineRule="auto"/>
        <w:jc w:val="both"/>
        <w:rPr>
          <w:rFonts w:ascii="Book Antiqua" w:hAnsi="Book Antiqua" w:cs="Times New Roman"/>
          <w:sz w:val="21"/>
          <w:szCs w:val="21"/>
        </w:rPr>
      </w:pPr>
    </w:p>
    <w:p w:rsidR="00CE5F5B" w:rsidRPr="00497201" w:rsidRDefault="00BE1132" w:rsidP="00426A2E">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Post-colonialism of Higher E</w:t>
      </w:r>
      <w:r w:rsidR="00CE5F5B" w:rsidRPr="00497201">
        <w:rPr>
          <w:rFonts w:ascii="Book Antiqua" w:hAnsi="Book Antiqua" w:cs="Times New Roman"/>
          <w:b/>
          <w:sz w:val="21"/>
          <w:szCs w:val="21"/>
        </w:rPr>
        <w:t>ducation</w:t>
      </w:r>
    </w:p>
    <w:p w:rsidR="00426A2E" w:rsidRPr="00497201" w:rsidRDefault="00426A2E" w:rsidP="00865558">
      <w:pPr>
        <w:spacing w:after="0" w:line="240" w:lineRule="auto"/>
        <w:jc w:val="both"/>
        <w:rPr>
          <w:rFonts w:ascii="Book Antiqua" w:hAnsi="Book Antiqua" w:cs="Times New Roman"/>
          <w:sz w:val="21"/>
          <w:szCs w:val="21"/>
        </w:rPr>
      </w:pPr>
    </w:p>
    <w:p w:rsidR="00E31E4C" w:rsidRPr="00497201" w:rsidRDefault="00426A2E" w:rsidP="00426A2E">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 system of higher education inherited by African countries from the colonial times has remained intact with little changes. The system puts a lot of emphasis on: knowledge hierarchies; publish or perish criterion to assess contribution and upward mobility of academics; and academic excellence (Knight, 2005). This structure promotes dislocation in social equilibrium between Africa's higher education institutions and the wider public.</w:t>
      </w:r>
    </w:p>
    <w:p w:rsidR="001619A1" w:rsidRPr="00497201" w:rsidRDefault="001619A1" w:rsidP="00426A2E">
      <w:pPr>
        <w:spacing w:after="0" w:line="240" w:lineRule="auto"/>
        <w:jc w:val="both"/>
        <w:rPr>
          <w:rFonts w:ascii="Book Antiqua" w:hAnsi="Book Antiqua" w:cs="Times New Roman"/>
          <w:sz w:val="21"/>
          <w:szCs w:val="21"/>
        </w:rPr>
      </w:pPr>
    </w:p>
    <w:p w:rsidR="00E22361" w:rsidRPr="00497201" w:rsidRDefault="00E22361" w:rsidP="00426A2E">
      <w:pPr>
        <w:spacing w:after="0" w:line="240" w:lineRule="auto"/>
        <w:jc w:val="both"/>
        <w:rPr>
          <w:rFonts w:ascii="Book Antiqua" w:hAnsi="Book Antiqua" w:cs="Times New Roman"/>
          <w:sz w:val="21"/>
          <w:szCs w:val="21"/>
        </w:rPr>
      </w:pPr>
    </w:p>
    <w:p w:rsidR="00E22361" w:rsidRPr="00497201" w:rsidRDefault="00E22361" w:rsidP="00426A2E">
      <w:pPr>
        <w:spacing w:after="0" w:line="240" w:lineRule="auto"/>
        <w:jc w:val="both"/>
        <w:rPr>
          <w:rFonts w:ascii="Book Antiqua" w:hAnsi="Book Antiqua" w:cs="Times New Roman"/>
          <w:sz w:val="21"/>
          <w:szCs w:val="21"/>
        </w:rPr>
      </w:pPr>
    </w:p>
    <w:p w:rsidR="00E22361" w:rsidRPr="00497201" w:rsidRDefault="00E22361" w:rsidP="00426A2E">
      <w:pPr>
        <w:spacing w:after="0" w:line="240" w:lineRule="auto"/>
        <w:jc w:val="both"/>
        <w:rPr>
          <w:rFonts w:ascii="Book Antiqua" w:hAnsi="Book Antiqua" w:cs="Times New Roman"/>
          <w:sz w:val="21"/>
          <w:szCs w:val="21"/>
        </w:rPr>
      </w:pPr>
    </w:p>
    <w:p w:rsidR="00E22361" w:rsidRPr="00497201" w:rsidRDefault="00E22361" w:rsidP="00426A2E">
      <w:pPr>
        <w:spacing w:after="0" w:line="240" w:lineRule="auto"/>
        <w:jc w:val="both"/>
        <w:rPr>
          <w:rFonts w:ascii="Book Antiqua" w:hAnsi="Book Antiqua" w:cs="Times New Roman"/>
          <w:sz w:val="21"/>
          <w:szCs w:val="21"/>
        </w:rPr>
      </w:pPr>
    </w:p>
    <w:p w:rsidR="00CE5F5B" w:rsidRPr="00497201" w:rsidRDefault="00BE1132" w:rsidP="00426A2E">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lastRenderedPageBreak/>
        <w:t>Cha</w:t>
      </w:r>
      <w:r w:rsidR="00236D84">
        <w:rPr>
          <w:rFonts w:ascii="Book Antiqua" w:hAnsi="Book Antiqua" w:cs="Times New Roman"/>
          <w:b/>
          <w:sz w:val="21"/>
          <w:szCs w:val="21"/>
        </w:rPr>
        <w:t>llenge for its Expected Role – R</w:t>
      </w:r>
      <w:r w:rsidRPr="00497201">
        <w:rPr>
          <w:rFonts w:ascii="Book Antiqua" w:hAnsi="Book Antiqua" w:cs="Times New Roman"/>
          <w:b/>
          <w:sz w:val="21"/>
          <w:szCs w:val="21"/>
        </w:rPr>
        <w:t xml:space="preserve">elevance and </w:t>
      </w:r>
      <w:r w:rsidR="00236D84">
        <w:rPr>
          <w:rFonts w:ascii="Book Antiqua" w:hAnsi="Book Antiqua" w:cs="Times New Roman"/>
          <w:b/>
          <w:sz w:val="21"/>
          <w:szCs w:val="21"/>
        </w:rPr>
        <w:t>U</w:t>
      </w:r>
      <w:r w:rsidR="00CE5F5B" w:rsidRPr="00497201">
        <w:rPr>
          <w:rFonts w:ascii="Book Antiqua" w:hAnsi="Book Antiqua" w:cs="Times New Roman"/>
          <w:b/>
          <w:sz w:val="21"/>
          <w:szCs w:val="21"/>
        </w:rPr>
        <w:t>tility</w:t>
      </w:r>
    </w:p>
    <w:p w:rsidR="00CE5F5B" w:rsidRPr="00497201" w:rsidRDefault="00CE5F5B" w:rsidP="00865558">
      <w:pPr>
        <w:pStyle w:val="ListParagraph"/>
        <w:spacing w:after="0" w:line="240" w:lineRule="auto"/>
        <w:jc w:val="both"/>
        <w:rPr>
          <w:rFonts w:ascii="Book Antiqua" w:hAnsi="Book Antiqua" w:cs="Times New Roman"/>
          <w:b/>
          <w:sz w:val="21"/>
          <w:szCs w:val="21"/>
        </w:rPr>
      </w:pPr>
    </w:p>
    <w:p w:rsidR="00CE5F5B" w:rsidRPr="00497201" w:rsidRDefault="00CE5F5B" w:rsidP="00426A2E">
      <w:pPr>
        <w:spacing w:after="0" w:line="240" w:lineRule="auto"/>
        <w:jc w:val="both"/>
        <w:rPr>
          <w:rFonts w:ascii="Book Antiqua" w:hAnsi="Book Antiqua" w:cs="Times New Roman"/>
          <w:b/>
          <w:i/>
          <w:sz w:val="21"/>
          <w:szCs w:val="21"/>
        </w:rPr>
      </w:pPr>
      <w:r w:rsidRPr="00497201">
        <w:rPr>
          <w:rFonts w:ascii="Book Antiqua" w:hAnsi="Book Antiqua" w:cs="Times New Roman"/>
          <w:b/>
          <w:i/>
          <w:sz w:val="21"/>
          <w:szCs w:val="21"/>
        </w:rPr>
        <w:t xml:space="preserve">Quality of </w:t>
      </w:r>
      <w:r w:rsidR="00E31E4C" w:rsidRPr="00497201">
        <w:rPr>
          <w:rFonts w:ascii="Book Antiqua" w:hAnsi="Book Antiqua" w:cs="Times New Roman"/>
          <w:b/>
          <w:i/>
          <w:sz w:val="21"/>
          <w:szCs w:val="21"/>
        </w:rPr>
        <w:t>H</w:t>
      </w:r>
      <w:r w:rsidRPr="00497201">
        <w:rPr>
          <w:rFonts w:ascii="Book Antiqua" w:hAnsi="Book Antiqua" w:cs="Times New Roman"/>
          <w:b/>
          <w:i/>
          <w:sz w:val="21"/>
          <w:szCs w:val="21"/>
        </w:rPr>
        <w:t xml:space="preserve">igher </w:t>
      </w:r>
      <w:r w:rsidR="00E31E4C" w:rsidRPr="00497201">
        <w:rPr>
          <w:rFonts w:ascii="Book Antiqua" w:hAnsi="Book Antiqua" w:cs="Times New Roman"/>
          <w:b/>
          <w:i/>
          <w:sz w:val="21"/>
          <w:szCs w:val="21"/>
        </w:rPr>
        <w:t>E</w:t>
      </w:r>
      <w:r w:rsidRPr="00497201">
        <w:rPr>
          <w:rFonts w:ascii="Book Antiqua" w:hAnsi="Book Antiqua" w:cs="Times New Roman"/>
          <w:b/>
          <w:i/>
          <w:sz w:val="21"/>
          <w:szCs w:val="21"/>
        </w:rPr>
        <w:t>ducation</w:t>
      </w:r>
    </w:p>
    <w:p w:rsidR="00E31E4C" w:rsidRPr="00497201" w:rsidRDefault="00E31E4C" w:rsidP="00865558">
      <w:pPr>
        <w:spacing w:after="0" w:line="240" w:lineRule="auto"/>
        <w:jc w:val="both"/>
        <w:rPr>
          <w:rFonts w:ascii="Book Antiqua" w:hAnsi="Book Antiqua" w:cs="Times New Roman"/>
          <w:sz w:val="21"/>
          <w:szCs w:val="21"/>
        </w:rPr>
      </w:pPr>
    </w:p>
    <w:p w:rsidR="00E31E4C" w:rsidRPr="00497201" w:rsidRDefault="00E31E4C"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 problem of quality of higher education in Africa remains a growing concern. The rapid growth of higher education and the continued decline in its quality has become a major problem in the continent (Eshiwani, 1999). In the 1970s</w:t>
      </w:r>
      <w:r w:rsidR="00BC7132" w:rsidRPr="00497201">
        <w:rPr>
          <w:rFonts w:ascii="Book Antiqua" w:hAnsi="Book Antiqua" w:cs="Times New Roman"/>
          <w:sz w:val="21"/>
          <w:szCs w:val="21"/>
        </w:rPr>
        <w:t>,</w:t>
      </w:r>
      <w:r w:rsidR="00CE5F5B" w:rsidRPr="00497201">
        <w:rPr>
          <w:rFonts w:ascii="Book Antiqua" w:hAnsi="Book Antiqua" w:cs="Times New Roman"/>
          <w:sz w:val="21"/>
          <w:szCs w:val="21"/>
        </w:rPr>
        <w:t xml:space="preserve"> when Africa fell into socio-economic and political quagmire, higher education lost its lustr</w:t>
      </w:r>
      <w:r w:rsidR="00E964BB" w:rsidRPr="00497201">
        <w:rPr>
          <w:rFonts w:ascii="Book Antiqua" w:hAnsi="Book Antiqua" w:cs="Times New Roman"/>
          <w:sz w:val="21"/>
          <w:szCs w:val="21"/>
        </w:rPr>
        <w:t>e b</w:t>
      </w:r>
      <w:r w:rsidR="00CE5F5B" w:rsidRPr="00497201">
        <w:rPr>
          <w:rFonts w:ascii="Book Antiqua" w:hAnsi="Book Antiqua" w:cs="Times New Roman"/>
          <w:sz w:val="21"/>
          <w:szCs w:val="21"/>
        </w:rPr>
        <w:t>ecause of domestic and international pressures. Though the quality of higher education has gone down over the years, today there is a concerted effort to improve it due to the place of higher education in the national, regional and international arena. Instruments used to rank universities globally show that African universities are at the bottom of the scale and this clearly shows that Africa’s place in the international knowledge market remains at the extreme margins (Knight, 2006). No Africa</w:t>
      </w:r>
      <w:r w:rsidR="00BC7132" w:rsidRPr="00497201">
        <w:rPr>
          <w:rFonts w:ascii="Book Antiqua" w:hAnsi="Book Antiqua" w:cs="Times New Roman"/>
          <w:sz w:val="21"/>
          <w:szCs w:val="21"/>
        </w:rPr>
        <w:t>n</w:t>
      </w:r>
      <w:r w:rsidR="00CE5F5B" w:rsidRPr="00497201">
        <w:rPr>
          <w:rFonts w:ascii="Book Antiqua" w:hAnsi="Book Antiqua" w:cs="Times New Roman"/>
          <w:sz w:val="21"/>
          <w:szCs w:val="21"/>
        </w:rPr>
        <w:t xml:space="preserve"> University appears in the top 100 global universities, and in the top 200 universities, only the University of Cape Town appears (THES-GS, 2008). Most of the top universities in the continent are from South Africa. These web rankings might have shortcomings but these rankings provide the picture of the place of higher education internationally. This quality issue has become an aspect of discussion in African universities and especially in upcoming institutions and private universities. There are numerous efforts to revitalize higher education in Africa an example being the Association of African Universities.</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 xml:space="preserve"> </w:t>
      </w:r>
    </w:p>
    <w:p w:rsidR="00CE5F5B" w:rsidRPr="00497201" w:rsidRDefault="00CE5F5B" w:rsidP="00E31E4C">
      <w:pPr>
        <w:spacing w:after="0" w:line="240" w:lineRule="auto"/>
        <w:jc w:val="both"/>
        <w:rPr>
          <w:rFonts w:ascii="Book Antiqua" w:hAnsi="Book Antiqua" w:cs="Times New Roman"/>
          <w:b/>
          <w:i/>
          <w:sz w:val="21"/>
          <w:szCs w:val="21"/>
        </w:rPr>
      </w:pPr>
      <w:r w:rsidRPr="00497201">
        <w:rPr>
          <w:rFonts w:ascii="Book Antiqua" w:hAnsi="Book Antiqua" w:cs="Times New Roman"/>
          <w:b/>
          <w:i/>
          <w:sz w:val="21"/>
          <w:szCs w:val="21"/>
        </w:rPr>
        <w:t xml:space="preserve">Research and </w:t>
      </w:r>
      <w:r w:rsidR="00E31E4C" w:rsidRPr="00497201">
        <w:rPr>
          <w:rFonts w:ascii="Book Antiqua" w:hAnsi="Book Antiqua" w:cs="Times New Roman"/>
          <w:b/>
          <w:i/>
          <w:sz w:val="21"/>
          <w:szCs w:val="21"/>
        </w:rPr>
        <w:t>P</w:t>
      </w:r>
      <w:r w:rsidRPr="00497201">
        <w:rPr>
          <w:rFonts w:ascii="Book Antiqua" w:hAnsi="Book Antiqua" w:cs="Times New Roman"/>
          <w:b/>
          <w:i/>
          <w:sz w:val="21"/>
          <w:szCs w:val="21"/>
        </w:rPr>
        <w:t>ublishing</w:t>
      </w:r>
    </w:p>
    <w:p w:rsidR="00E31E4C" w:rsidRPr="00497201" w:rsidRDefault="00E31E4C" w:rsidP="00865558">
      <w:pPr>
        <w:spacing w:after="0" w:line="240" w:lineRule="auto"/>
        <w:jc w:val="both"/>
        <w:rPr>
          <w:rFonts w:ascii="Book Antiqua" w:hAnsi="Book Antiqua" w:cs="Times New Roman"/>
          <w:sz w:val="21"/>
          <w:szCs w:val="21"/>
        </w:rPr>
      </w:pPr>
    </w:p>
    <w:p w:rsidR="00CE5F5B" w:rsidRPr="00497201" w:rsidRDefault="00E31E4C"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Research promotion and development is the vehicle to knowledge production and sharing. Publishing is the means to which this knowledge is formally organized, disseminated and established. The biggest proportion of research is generated in the </w:t>
      </w:r>
      <w:r w:rsidR="00C84C8C" w:rsidRPr="00C84C8C">
        <w:rPr>
          <w:rFonts w:ascii="Book Antiqua" w:hAnsi="Book Antiqua" w:cs="Times New Roman"/>
          <w:sz w:val="21"/>
          <w:szCs w:val="21"/>
        </w:rPr>
        <w:t xml:space="preserve">global </w:t>
      </w:r>
      <w:r w:rsidR="00CE5F5B" w:rsidRPr="00C84C8C">
        <w:rPr>
          <w:rFonts w:ascii="Book Antiqua" w:hAnsi="Book Antiqua" w:cs="Times New Roman"/>
          <w:sz w:val="21"/>
          <w:szCs w:val="21"/>
        </w:rPr>
        <w:t>North</w:t>
      </w:r>
      <w:r w:rsidR="00BC7132"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and consequently the norms and paradigms of research and publishing are formulated and shaped there. Research and publishing is very expensive and more so to countries from the </w:t>
      </w:r>
      <w:r w:rsidR="00C84C8C" w:rsidRPr="00C84C8C">
        <w:rPr>
          <w:rFonts w:ascii="Book Antiqua" w:hAnsi="Book Antiqua" w:cs="Times New Roman"/>
          <w:sz w:val="21"/>
          <w:szCs w:val="21"/>
        </w:rPr>
        <w:t xml:space="preserve">global </w:t>
      </w:r>
      <w:r w:rsidR="00CE5F5B" w:rsidRPr="00C84C8C">
        <w:rPr>
          <w:rFonts w:ascii="Book Antiqua" w:hAnsi="Book Antiqua" w:cs="Times New Roman"/>
          <w:sz w:val="21"/>
          <w:szCs w:val="21"/>
        </w:rPr>
        <w:t>South and especially Africa.</w:t>
      </w:r>
      <w:r w:rsidR="00CE5F5B" w:rsidRPr="00497201">
        <w:rPr>
          <w:rFonts w:ascii="Book Antiqua" w:hAnsi="Book Antiqua" w:cs="Times New Roman"/>
          <w:sz w:val="21"/>
          <w:szCs w:val="21"/>
        </w:rPr>
        <w:t xml:space="preserve"> Resources for research and development in the developed countries are supported by not only the government but also private businesses and wealthy corporations (Knight, 2006). Compared to other regions, Africa’s investment in research is very low with Sub-Saharan Africa contributing only 1% of global knowledge. African research institutions depend on external funding sources. The </w:t>
      </w:r>
      <w:r w:rsidR="00CE5F5B" w:rsidRPr="00497201">
        <w:rPr>
          <w:rFonts w:ascii="Book Antiqua" w:hAnsi="Book Antiqua" w:cs="Times New Roman"/>
          <w:sz w:val="21"/>
          <w:szCs w:val="21"/>
        </w:rPr>
        <w:lastRenderedPageBreak/>
        <w:t xml:space="preserve">international values of knowledge production are perpetuated by means of existing regimes </w:t>
      </w:r>
      <w:r w:rsidR="00BC7132" w:rsidRPr="00497201">
        <w:rPr>
          <w:rFonts w:ascii="Book Antiqua" w:hAnsi="Book Antiqua" w:cs="Times New Roman"/>
          <w:sz w:val="21"/>
          <w:szCs w:val="21"/>
        </w:rPr>
        <w:t>n</w:t>
      </w:r>
      <w:r w:rsidR="00CE5F5B" w:rsidRPr="00497201">
        <w:rPr>
          <w:rFonts w:ascii="Book Antiqua" w:hAnsi="Book Antiqua" w:cs="Times New Roman"/>
          <w:sz w:val="21"/>
          <w:szCs w:val="21"/>
        </w:rPr>
        <w:t xml:space="preserve">urtured and advocated by powerful forces. </w:t>
      </w:r>
    </w:p>
    <w:p w:rsidR="00E31E4C" w:rsidRPr="00497201" w:rsidRDefault="00E31E4C" w:rsidP="00E31E4C">
      <w:pPr>
        <w:spacing w:after="0" w:line="240" w:lineRule="auto"/>
        <w:jc w:val="both"/>
        <w:rPr>
          <w:rFonts w:ascii="Book Antiqua" w:hAnsi="Book Antiqua" w:cs="Times New Roman"/>
          <w:b/>
          <w:sz w:val="21"/>
          <w:szCs w:val="21"/>
        </w:rPr>
      </w:pPr>
    </w:p>
    <w:p w:rsidR="00CE5F5B" w:rsidRPr="00497201" w:rsidRDefault="00CE5F5B" w:rsidP="00E31E4C">
      <w:pPr>
        <w:spacing w:after="0" w:line="240" w:lineRule="auto"/>
        <w:jc w:val="both"/>
        <w:rPr>
          <w:rFonts w:ascii="Book Antiqua" w:hAnsi="Book Antiqua" w:cs="Times New Roman"/>
          <w:b/>
          <w:i/>
          <w:sz w:val="21"/>
          <w:szCs w:val="21"/>
        </w:rPr>
      </w:pPr>
      <w:r w:rsidRPr="00497201">
        <w:rPr>
          <w:rFonts w:ascii="Book Antiqua" w:hAnsi="Book Antiqua" w:cs="Times New Roman"/>
          <w:b/>
          <w:i/>
          <w:sz w:val="21"/>
          <w:szCs w:val="21"/>
        </w:rPr>
        <w:t xml:space="preserve">Languages </w:t>
      </w:r>
      <w:r w:rsidR="00E31E4C" w:rsidRPr="00497201">
        <w:rPr>
          <w:rFonts w:ascii="Book Antiqua" w:hAnsi="Book Antiqua" w:cs="Times New Roman"/>
          <w:b/>
          <w:i/>
          <w:sz w:val="21"/>
          <w:szCs w:val="21"/>
        </w:rPr>
        <w:t>of Instruction</w:t>
      </w:r>
    </w:p>
    <w:p w:rsidR="00E31E4C" w:rsidRPr="00497201" w:rsidRDefault="00E31E4C" w:rsidP="00865558">
      <w:pPr>
        <w:spacing w:after="0" w:line="240" w:lineRule="auto"/>
        <w:jc w:val="both"/>
        <w:rPr>
          <w:rFonts w:ascii="Book Antiqua" w:hAnsi="Book Antiqua" w:cs="Times New Roman"/>
          <w:sz w:val="21"/>
          <w:szCs w:val="21"/>
        </w:rPr>
      </w:pPr>
    </w:p>
    <w:p w:rsidR="00C95BE0" w:rsidRPr="00DC0D1C" w:rsidRDefault="00E31E4C" w:rsidP="00DC0D1C">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Africa’s higher education uses several international languages as a mode of delivery. The use of these international languages exhibits the internationalization of higher education. The continued use of these languages signifies the powerful legacy of colonialism. This has promoted globalization of knowledge and raised competitiveness. However, the low level of proficiency in these languages has contributed to the low quality of higher education in Africa. This poor language capacity hinders students from effectively participating in the teaching and learning process as well as research and publication. </w:t>
      </w:r>
    </w:p>
    <w:p w:rsidR="00C95BE0" w:rsidRDefault="00C95BE0" w:rsidP="00294827">
      <w:pPr>
        <w:pStyle w:val="CommentText"/>
        <w:spacing w:after="0" w:line="240" w:lineRule="auto"/>
        <w:jc w:val="both"/>
        <w:rPr>
          <w:rFonts w:ascii="Book Antiqua" w:hAnsi="Book Antiqua" w:cs="Times New Roman"/>
          <w:b/>
          <w:sz w:val="21"/>
          <w:szCs w:val="21"/>
        </w:rPr>
      </w:pPr>
    </w:p>
    <w:p w:rsidR="00CE5F5B" w:rsidRPr="00497201" w:rsidRDefault="00BE1132" w:rsidP="00294827">
      <w:pPr>
        <w:pStyle w:val="CommentText"/>
        <w:spacing w:after="0" w:line="240" w:lineRule="auto"/>
        <w:jc w:val="both"/>
        <w:rPr>
          <w:rFonts w:ascii="Book Antiqua" w:hAnsi="Book Antiqua" w:cs="Times New Roman"/>
          <w:sz w:val="21"/>
          <w:szCs w:val="21"/>
        </w:rPr>
      </w:pPr>
      <w:r w:rsidRPr="00497201">
        <w:rPr>
          <w:rFonts w:ascii="Book Antiqua" w:hAnsi="Book Antiqua" w:cs="Times New Roman"/>
          <w:b/>
          <w:sz w:val="21"/>
          <w:szCs w:val="21"/>
        </w:rPr>
        <w:t>Reconciling the Current Discipline-based Structure with the T</w:t>
      </w:r>
      <w:r w:rsidR="00CE5F5B" w:rsidRPr="00497201">
        <w:rPr>
          <w:rFonts w:ascii="Book Antiqua" w:hAnsi="Book Antiqua" w:cs="Times New Roman"/>
          <w:b/>
          <w:sz w:val="21"/>
          <w:szCs w:val="21"/>
        </w:rPr>
        <w:t xml:space="preserve">rans-disciplinary </w:t>
      </w:r>
      <w:r w:rsidR="008966E7">
        <w:rPr>
          <w:rFonts w:ascii="Book Antiqua" w:hAnsi="Book Antiqua" w:cs="Times New Roman"/>
          <w:b/>
          <w:sz w:val="21"/>
          <w:szCs w:val="21"/>
        </w:rPr>
        <w:t xml:space="preserve">Requirements of Education for Sustainable Development </w:t>
      </w:r>
    </w:p>
    <w:p w:rsidR="00294827" w:rsidRPr="00497201" w:rsidRDefault="00294827" w:rsidP="00865558">
      <w:pPr>
        <w:spacing w:after="0" w:line="240" w:lineRule="auto"/>
        <w:jc w:val="both"/>
        <w:rPr>
          <w:rFonts w:ascii="Book Antiqua" w:hAnsi="Book Antiqua" w:cs="Times New Roman"/>
          <w:sz w:val="21"/>
          <w:szCs w:val="21"/>
        </w:rPr>
      </w:pPr>
    </w:p>
    <w:p w:rsidR="00CE5F5B" w:rsidRPr="00497201" w:rsidRDefault="0029482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Perhaps the greatest challenge faced by higher education in the implementation of education for sustainable development programmes is how to reconcile the current discipline-based structure of the universities with the transdisciplinary requirements of education for sustainable development. As observed by Dam-Mieras, (2008), the fact that the traditional discipline-based structure of knowledge and research will be difficult to change against the transdisciplinary nature of sustainable development poses a problem for implementing education for sustainable development. Given that universities may not want to restructure completely, it is possible to institute some kind of arrangement with overview and responsibility outside and across the traditional disciplines. </w:t>
      </w:r>
    </w:p>
    <w:p w:rsidR="00F23353" w:rsidRDefault="00F23353" w:rsidP="00BC7132">
      <w:pPr>
        <w:spacing w:after="0" w:line="240" w:lineRule="auto"/>
        <w:ind w:firstLine="720"/>
        <w:jc w:val="both"/>
        <w:rPr>
          <w:rFonts w:ascii="Book Antiqua" w:hAnsi="Book Antiqua" w:cs="Times New Roman"/>
          <w:sz w:val="21"/>
          <w:szCs w:val="21"/>
        </w:rPr>
      </w:pPr>
    </w:p>
    <w:p w:rsidR="00CE5F5B" w:rsidRPr="00497201" w:rsidRDefault="00CE5F5B" w:rsidP="00BC7132">
      <w:pPr>
        <w:spacing w:after="0" w:line="240" w:lineRule="auto"/>
        <w:ind w:firstLine="720"/>
        <w:jc w:val="both"/>
        <w:rPr>
          <w:rFonts w:ascii="Book Antiqua" w:hAnsi="Book Antiqua" w:cs="Times New Roman"/>
          <w:sz w:val="21"/>
          <w:szCs w:val="21"/>
        </w:rPr>
      </w:pPr>
      <w:r w:rsidRPr="00497201">
        <w:rPr>
          <w:rFonts w:ascii="Book Antiqua" w:hAnsi="Book Antiqua" w:cs="Times New Roman"/>
          <w:sz w:val="21"/>
          <w:szCs w:val="21"/>
        </w:rPr>
        <w:t>Higher education has a key role to play in response to problem-solving focus on complex sustainability</w:t>
      </w:r>
      <w:r w:rsidR="00294827" w:rsidRPr="00497201">
        <w:rPr>
          <w:rFonts w:ascii="Book Antiqua" w:hAnsi="Book Antiqua" w:cs="Times New Roman"/>
          <w:sz w:val="21"/>
          <w:szCs w:val="21"/>
        </w:rPr>
        <w:t xml:space="preserve"> </w:t>
      </w:r>
      <w:r w:rsidRPr="00497201">
        <w:rPr>
          <w:rFonts w:ascii="Book Antiqua" w:hAnsi="Book Antiqua" w:cs="Times New Roman"/>
          <w:sz w:val="21"/>
          <w:szCs w:val="21"/>
        </w:rPr>
        <w:t>issues in the continent. In the field-based problem solving approach, Africa</w:t>
      </w:r>
      <w:r w:rsidR="00BC7132" w:rsidRPr="00497201">
        <w:rPr>
          <w:rFonts w:ascii="Book Antiqua" w:hAnsi="Book Antiqua" w:cs="Times New Roman"/>
          <w:sz w:val="21"/>
          <w:szCs w:val="21"/>
        </w:rPr>
        <w:t>’s</w:t>
      </w:r>
      <w:r w:rsidRPr="00497201">
        <w:rPr>
          <w:rFonts w:ascii="Book Antiqua" w:hAnsi="Book Antiqua" w:cs="Times New Roman"/>
          <w:sz w:val="21"/>
          <w:szCs w:val="21"/>
        </w:rPr>
        <w:t xml:space="preserve"> higher education further faces the challenge of change of curriculum from the current exam-oriented theory-based to a problem solving curriculum. </w:t>
      </w:r>
      <w:r w:rsidR="00BC7132" w:rsidRPr="00497201">
        <w:rPr>
          <w:rFonts w:ascii="Book Antiqua" w:hAnsi="Book Antiqua" w:cs="Times New Roman"/>
          <w:sz w:val="21"/>
          <w:szCs w:val="21"/>
        </w:rPr>
        <w:t>A n</w:t>
      </w:r>
      <w:r w:rsidRPr="00497201">
        <w:rPr>
          <w:rFonts w:ascii="Book Antiqua" w:hAnsi="Book Antiqua" w:cs="Times New Roman"/>
          <w:sz w:val="21"/>
          <w:szCs w:val="21"/>
        </w:rPr>
        <w:t xml:space="preserve">ew or revised curriculum will require </w:t>
      </w:r>
      <w:r w:rsidR="000F74E0" w:rsidRPr="00497201">
        <w:rPr>
          <w:rFonts w:ascii="Book Antiqua" w:hAnsi="Book Antiqua" w:cs="Times New Roman"/>
          <w:sz w:val="21"/>
          <w:szCs w:val="21"/>
        </w:rPr>
        <w:t>the re-training o</w:t>
      </w:r>
      <w:r w:rsidRPr="00497201">
        <w:rPr>
          <w:rFonts w:ascii="Book Antiqua" w:hAnsi="Book Antiqua" w:cs="Times New Roman"/>
          <w:sz w:val="21"/>
          <w:szCs w:val="21"/>
        </w:rPr>
        <w:t xml:space="preserve">f teachers to </w:t>
      </w:r>
      <w:r w:rsidR="000F74E0" w:rsidRPr="00497201">
        <w:rPr>
          <w:rFonts w:ascii="Book Antiqua" w:hAnsi="Book Antiqua" w:cs="Times New Roman"/>
          <w:sz w:val="21"/>
          <w:szCs w:val="21"/>
        </w:rPr>
        <w:t>aid fac</w:t>
      </w:r>
      <w:r w:rsidRPr="00497201">
        <w:rPr>
          <w:rFonts w:ascii="Book Antiqua" w:hAnsi="Book Antiqua" w:cs="Times New Roman"/>
          <w:sz w:val="21"/>
          <w:szCs w:val="21"/>
        </w:rPr>
        <w:t xml:space="preserve">ulty on course delivery and research. In addition, to have the capacity to afford to deliver a new or improved curriculum; building linkages with communities and collaboration with stakeholders will be </w:t>
      </w:r>
      <w:r w:rsidR="00C1277B" w:rsidRPr="00497201">
        <w:rPr>
          <w:rFonts w:ascii="Book Antiqua" w:hAnsi="Book Antiqua" w:cs="Times New Roman"/>
          <w:sz w:val="21"/>
          <w:szCs w:val="21"/>
        </w:rPr>
        <w:t xml:space="preserve">extremely </w:t>
      </w:r>
      <w:r w:rsidRPr="00497201">
        <w:rPr>
          <w:rFonts w:ascii="Book Antiqua" w:hAnsi="Book Antiqua" w:cs="Times New Roman"/>
          <w:sz w:val="21"/>
          <w:szCs w:val="21"/>
        </w:rPr>
        <w:t xml:space="preserve">important. Until then, </w:t>
      </w:r>
      <w:r w:rsidRPr="00497201">
        <w:rPr>
          <w:rFonts w:ascii="Book Antiqua" w:hAnsi="Book Antiqua" w:cs="Times New Roman"/>
          <w:sz w:val="21"/>
          <w:szCs w:val="21"/>
        </w:rPr>
        <w:lastRenderedPageBreak/>
        <w:t>tertiary education in Africa will continue to fail to address development in Africa.</w:t>
      </w:r>
    </w:p>
    <w:p w:rsidR="00F23353" w:rsidRDefault="00F23353" w:rsidP="00865558">
      <w:pPr>
        <w:spacing w:after="0" w:line="240" w:lineRule="auto"/>
        <w:jc w:val="both"/>
        <w:rPr>
          <w:rFonts w:ascii="Book Antiqua" w:hAnsi="Book Antiqua" w:cs="Times New Roman"/>
          <w:b/>
          <w:sz w:val="21"/>
          <w:szCs w:val="21"/>
        </w:rPr>
      </w:pPr>
    </w:p>
    <w:p w:rsidR="00CE5F5B" w:rsidRPr="00497201" w:rsidRDefault="00294827" w:rsidP="00865558">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Africa’s Changing Development Context and Emerging Sustainability Concern</w:t>
      </w:r>
    </w:p>
    <w:p w:rsidR="00294827" w:rsidRPr="00497201" w:rsidRDefault="00294827" w:rsidP="00865558">
      <w:pPr>
        <w:spacing w:after="0" w:line="240" w:lineRule="auto"/>
        <w:jc w:val="both"/>
        <w:rPr>
          <w:rFonts w:ascii="Book Antiqua" w:hAnsi="Book Antiqua" w:cs="Times New Roman"/>
          <w:b/>
          <w:sz w:val="21"/>
          <w:szCs w:val="21"/>
        </w:rPr>
      </w:pPr>
    </w:p>
    <w:p w:rsidR="00CE5F5B" w:rsidRPr="00497201" w:rsidRDefault="00294827" w:rsidP="00865558">
      <w:pPr>
        <w:spacing w:after="0" w:line="240" w:lineRule="auto"/>
        <w:jc w:val="both"/>
        <w:rPr>
          <w:rFonts w:ascii="Book Antiqua" w:hAnsi="Book Antiqua" w:cs="Times New Roman"/>
          <w:b/>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With changing development demands and challenges, tertiary education institutions are currently getting recognized as avenues of instilling practical knowledge and skills applicable to sustainable development in Africa. Today, ‘sustainability challenge’ is the emerging concern for the higher education sector in the region.</w:t>
      </w:r>
      <w:r w:rsidR="00383F68"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Unlike other countries where higher education has and still is the centre for current and future innovations, Africa’s higher education sector has for decades lacked focus on development; </w:t>
      </w:r>
      <w:r w:rsidR="00C1277B" w:rsidRPr="00497201">
        <w:rPr>
          <w:rFonts w:ascii="Book Antiqua" w:hAnsi="Book Antiqua" w:cs="Times New Roman"/>
          <w:sz w:val="21"/>
          <w:szCs w:val="21"/>
        </w:rPr>
        <w:t>the</w:t>
      </w:r>
      <w:r w:rsidR="00CE5F5B" w:rsidRPr="00497201">
        <w:rPr>
          <w:rFonts w:ascii="Book Antiqua" w:hAnsi="Book Antiqua" w:cs="Times New Roman"/>
          <w:sz w:val="21"/>
          <w:szCs w:val="21"/>
        </w:rPr>
        <w:t xml:space="preserve"> cornerstone for sustainable continent. According to Coomber (1991), the decline in real value of university budgets, increase in undergraduates’ intakes, increase in academic staff turnover, and research facilities deterioration including library support has put tertiary education in the region under severe pressure leading to a decline in admissions and completion of higher education. Without a strong foundation in higher education, Africa risks lagging behind the rest of world in all important aspects of life such as the economy, technology, and quality of life. It is evident therefore that Africa as a region cannot afford to neglect higher education any more (Bloom</w:t>
      </w:r>
      <w:r w:rsidR="00D57756" w:rsidRPr="00497201">
        <w:rPr>
          <w:rFonts w:ascii="Book Antiqua" w:hAnsi="Book Antiqua" w:cs="Times New Roman"/>
          <w:sz w:val="21"/>
          <w:szCs w:val="21"/>
        </w:rPr>
        <w:t xml:space="preserve"> </w:t>
      </w:r>
      <w:r w:rsidR="00CE5F5B" w:rsidRPr="00497201">
        <w:rPr>
          <w:rFonts w:ascii="Book Antiqua" w:hAnsi="Book Antiqua" w:cs="Times New Roman"/>
          <w:i/>
          <w:sz w:val="21"/>
          <w:szCs w:val="21"/>
        </w:rPr>
        <w:t>et al</w:t>
      </w:r>
      <w:r w:rsidR="00CE5F5B" w:rsidRPr="00497201">
        <w:rPr>
          <w:rFonts w:ascii="Book Antiqua" w:hAnsi="Book Antiqua" w:cs="Times New Roman"/>
          <w:sz w:val="21"/>
          <w:szCs w:val="21"/>
        </w:rPr>
        <w:t xml:space="preserve">, 2005). </w:t>
      </w:r>
    </w:p>
    <w:p w:rsidR="00294827" w:rsidRPr="00497201" w:rsidRDefault="00294827" w:rsidP="00865558">
      <w:pPr>
        <w:spacing w:after="0" w:line="240" w:lineRule="auto"/>
        <w:jc w:val="both"/>
        <w:rPr>
          <w:rFonts w:ascii="Book Antiqua" w:hAnsi="Book Antiqua" w:cs="Times New Roman"/>
          <w:sz w:val="21"/>
          <w:szCs w:val="21"/>
        </w:rPr>
      </w:pPr>
    </w:p>
    <w:p w:rsidR="00CE5F5B" w:rsidRPr="00497201" w:rsidRDefault="0029482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 widespread recognition that tertiary education is a major driver of economic competitiveness in an increasingly knowledge-driven global economy has made high-quality tertiary education more important than ever. Countries with higher skill levels are better equipped to face new challenges and master technological discoveries. The imperative for countries is to raise higher-level employment skills, to sustain a globally competitive research base and to improve knowledge dissemination to the benefit of society by overcoming its sustainability challenge.</w:t>
      </w:r>
    </w:p>
    <w:p w:rsidR="00294827" w:rsidRPr="00497201" w:rsidRDefault="00294827" w:rsidP="00865558">
      <w:pPr>
        <w:spacing w:after="0" w:line="240" w:lineRule="auto"/>
        <w:jc w:val="both"/>
        <w:rPr>
          <w:rFonts w:ascii="Book Antiqua" w:hAnsi="Book Antiqua" w:cs="Times New Roman"/>
          <w:sz w:val="21"/>
          <w:szCs w:val="21"/>
        </w:rPr>
      </w:pPr>
    </w:p>
    <w:p w:rsidR="00CE5F5B" w:rsidRPr="00497201" w:rsidRDefault="0029482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 xml:space="preserve">This “sustainability challenge” is an opportunity for the higher education sector to re-define its role, with the increasing importance of ‘knowledge’ for development in Africa to tackle complex development questions and the need to combine education, research and outreach for tackling sustainable development issues, both of which universities should be the primary driver. This calls for the need for universities to produce graduates with relevant skills for addressing the development concern. For </w:t>
      </w:r>
      <w:r w:rsidR="00CE5F5B" w:rsidRPr="00497201">
        <w:rPr>
          <w:rFonts w:ascii="Book Antiqua" w:hAnsi="Book Antiqua" w:cs="Times New Roman"/>
          <w:sz w:val="21"/>
          <w:szCs w:val="21"/>
        </w:rPr>
        <w:lastRenderedPageBreak/>
        <w:t>this to happen, the focus of higher education has to be in the field. A change of the curriculum therefore, to field-based problem solving is important because inherited systems from the North do not fit the current development realities in the region. The new requirements for the curriculum should incorporate the practice of multi-</w:t>
      </w:r>
      <w:r w:rsidR="00714E6C" w:rsidRPr="00497201">
        <w:rPr>
          <w:rFonts w:ascii="Book Antiqua" w:hAnsi="Book Antiqua" w:cs="Times New Roman"/>
          <w:sz w:val="21"/>
          <w:szCs w:val="21"/>
        </w:rPr>
        <w:t>disciplinary</w:t>
      </w:r>
      <w:r w:rsidR="00CE5F5B" w:rsidRPr="00497201">
        <w:rPr>
          <w:rFonts w:ascii="Book Antiqua" w:hAnsi="Book Antiqua" w:cs="Times New Roman"/>
          <w:sz w:val="21"/>
          <w:szCs w:val="21"/>
        </w:rPr>
        <w:t xml:space="preserve"> problem-solving approach</w:t>
      </w:r>
      <w:r w:rsidR="00D57756" w:rsidRPr="00497201">
        <w:rPr>
          <w:rFonts w:ascii="Book Antiqua" w:hAnsi="Book Antiqua" w:cs="Times New Roman"/>
          <w:sz w:val="21"/>
          <w:szCs w:val="21"/>
        </w:rPr>
        <w:t>,</w:t>
      </w:r>
      <w:r w:rsidR="00CE5F5B" w:rsidRPr="00497201">
        <w:rPr>
          <w:rFonts w:ascii="Book Antiqua" w:hAnsi="Book Antiqua" w:cs="Times New Roman"/>
          <w:sz w:val="21"/>
          <w:szCs w:val="21"/>
        </w:rPr>
        <w:t xml:space="preserve"> </w:t>
      </w:r>
      <w:r w:rsidR="00D57756" w:rsidRPr="00497201">
        <w:rPr>
          <w:rFonts w:ascii="Book Antiqua" w:hAnsi="Book Antiqua" w:cs="Times New Roman"/>
          <w:sz w:val="21"/>
          <w:szCs w:val="21"/>
        </w:rPr>
        <w:t xml:space="preserve">the </w:t>
      </w:r>
      <w:r w:rsidR="00CE5F5B" w:rsidRPr="00497201">
        <w:rPr>
          <w:rFonts w:ascii="Book Antiqua" w:hAnsi="Book Antiqua" w:cs="Times New Roman"/>
          <w:sz w:val="21"/>
          <w:szCs w:val="21"/>
        </w:rPr>
        <w:t>need to integrate education, research and service functions</w:t>
      </w:r>
      <w:r w:rsidR="00D57756"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and </w:t>
      </w:r>
      <w:r w:rsidR="00D57756" w:rsidRPr="00497201">
        <w:rPr>
          <w:rFonts w:ascii="Book Antiqua" w:hAnsi="Book Antiqua" w:cs="Times New Roman"/>
          <w:sz w:val="21"/>
          <w:szCs w:val="21"/>
        </w:rPr>
        <w:t xml:space="preserve">the </w:t>
      </w:r>
      <w:r w:rsidR="00CE5F5B" w:rsidRPr="00497201">
        <w:rPr>
          <w:rFonts w:ascii="Book Antiqua" w:hAnsi="Book Antiqua" w:cs="Times New Roman"/>
          <w:sz w:val="21"/>
          <w:szCs w:val="21"/>
        </w:rPr>
        <w:t>need to contribute to strengthening of societal resilience free from political upheavals.</w:t>
      </w:r>
    </w:p>
    <w:p w:rsidR="00294827" w:rsidRPr="00497201" w:rsidRDefault="00294827" w:rsidP="00865558">
      <w:pPr>
        <w:spacing w:after="0" w:line="240" w:lineRule="auto"/>
        <w:jc w:val="both"/>
        <w:rPr>
          <w:rFonts w:ascii="Book Antiqua" w:hAnsi="Book Antiqua" w:cs="Times New Roman"/>
          <w:sz w:val="21"/>
          <w:szCs w:val="21"/>
        </w:rPr>
      </w:pPr>
    </w:p>
    <w:p w:rsidR="00CE5F5B" w:rsidRPr="00497201" w:rsidRDefault="00294827" w:rsidP="00865558">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African Universities’ Response to the Challenge of Sustainable Development in Africa</w:t>
      </w:r>
    </w:p>
    <w:p w:rsidR="00294827" w:rsidRPr="00497201" w:rsidRDefault="00294827" w:rsidP="00865558">
      <w:pPr>
        <w:pStyle w:val="Default"/>
        <w:jc w:val="both"/>
        <w:rPr>
          <w:rFonts w:ascii="Book Antiqua" w:hAnsi="Book Antiqua"/>
          <w:bCs/>
          <w:color w:val="auto"/>
          <w:sz w:val="21"/>
          <w:szCs w:val="21"/>
        </w:rPr>
      </w:pPr>
    </w:p>
    <w:p w:rsidR="00CE5F5B" w:rsidRPr="00497201" w:rsidRDefault="00294827" w:rsidP="00865558">
      <w:pPr>
        <w:pStyle w:val="Default"/>
        <w:jc w:val="both"/>
        <w:rPr>
          <w:rFonts w:ascii="Book Antiqua" w:hAnsi="Book Antiqua"/>
          <w:color w:val="auto"/>
          <w:sz w:val="21"/>
          <w:szCs w:val="21"/>
        </w:rPr>
      </w:pPr>
      <w:r w:rsidRPr="00497201">
        <w:rPr>
          <w:rFonts w:ascii="Book Antiqua" w:hAnsi="Book Antiqua"/>
          <w:bCs/>
          <w:color w:val="auto"/>
          <w:sz w:val="21"/>
          <w:szCs w:val="21"/>
        </w:rPr>
        <w:tab/>
      </w:r>
      <w:r w:rsidR="00CE5F5B" w:rsidRPr="00497201">
        <w:rPr>
          <w:rFonts w:ascii="Book Antiqua" w:hAnsi="Book Antiqua"/>
          <w:bCs/>
          <w:color w:val="auto"/>
          <w:sz w:val="21"/>
          <w:szCs w:val="21"/>
        </w:rPr>
        <w:t xml:space="preserve">As an attempt to respond to the challenge </w:t>
      </w:r>
      <w:r w:rsidR="00C9470D" w:rsidRPr="00497201">
        <w:rPr>
          <w:rFonts w:ascii="Book Antiqua" w:hAnsi="Book Antiqua"/>
          <w:bCs/>
          <w:color w:val="auto"/>
          <w:sz w:val="21"/>
          <w:szCs w:val="21"/>
        </w:rPr>
        <w:t xml:space="preserve">of </w:t>
      </w:r>
      <w:r w:rsidR="00CE5F5B" w:rsidRPr="00497201">
        <w:rPr>
          <w:rFonts w:ascii="Book Antiqua" w:hAnsi="Book Antiqua"/>
          <w:bCs/>
          <w:color w:val="auto"/>
          <w:sz w:val="21"/>
          <w:szCs w:val="21"/>
        </w:rPr>
        <w:t xml:space="preserve">sustainable development in Africa, initiatives have been implemented in some African universities. The Association of African Universities (AAU) has done a survey on the promotion of sustainable development by higher education institutions in sub-Saharan Africa that was done in 2011. </w:t>
      </w:r>
      <w:r w:rsidR="00CE5F5B" w:rsidRPr="00497201">
        <w:rPr>
          <w:rFonts w:ascii="Book Antiqua" w:hAnsi="Book Antiqua"/>
          <w:color w:val="auto"/>
          <w:sz w:val="21"/>
          <w:szCs w:val="21"/>
        </w:rPr>
        <w:t xml:space="preserve">The survey was to establish current sustainability practices in higher education institutions in Africa. The overall aim of the study is to assist </w:t>
      </w:r>
      <w:r w:rsidR="00C9470D" w:rsidRPr="00497201">
        <w:rPr>
          <w:rFonts w:ascii="Book Antiqua" w:hAnsi="Book Antiqua"/>
          <w:color w:val="auto"/>
          <w:sz w:val="21"/>
          <w:szCs w:val="21"/>
        </w:rPr>
        <w:t xml:space="preserve">Africa’s </w:t>
      </w:r>
      <w:r w:rsidR="00CE5F5B" w:rsidRPr="00497201">
        <w:rPr>
          <w:rFonts w:ascii="Book Antiqua" w:hAnsi="Book Antiqua"/>
          <w:color w:val="auto"/>
          <w:sz w:val="21"/>
          <w:szCs w:val="21"/>
        </w:rPr>
        <w:t>sub-Saharan higher education institutions to develop institutional strategies to enhance their practices towards achieving sustainable development in Africa. The study was intended to be extensive to develop an overview of sustainability practices in the region. An online survey was launched and 498 higher education institutions were invited to participate. Seventy-three (73) institutions responded (14</w:t>
      </w:r>
      <w:r w:rsidR="0043361B" w:rsidRPr="00497201">
        <w:rPr>
          <w:rFonts w:ascii="Book Antiqua" w:hAnsi="Book Antiqua"/>
          <w:color w:val="auto"/>
          <w:sz w:val="21"/>
          <w:szCs w:val="21"/>
        </w:rPr>
        <w:t>.</w:t>
      </w:r>
      <w:r w:rsidR="00CE5F5B" w:rsidRPr="00497201">
        <w:rPr>
          <w:rFonts w:ascii="Book Antiqua" w:hAnsi="Book Antiqua"/>
          <w:color w:val="auto"/>
          <w:sz w:val="21"/>
          <w:szCs w:val="21"/>
        </w:rPr>
        <w:t>7%), either fully or partially, to the questionnaire. Results of the study show that higher education institutions in Africa are promoting sustainable development both on their campuses and in their communities. Commitment to sustainability is reflected in some of the universities</w:t>
      </w:r>
      <w:r w:rsidR="0043361B" w:rsidRPr="00497201">
        <w:rPr>
          <w:rFonts w:ascii="Book Antiqua" w:hAnsi="Book Antiqua"/>
          <w:color w:val="auto"/>
          <w:sz w:val="21"/>
          <w:szCs w:val="21"/>
        </w:rPr>
        <w:t>’ w</w:t>
      </w:r>
      <w:r w:rsidR="00CE5F5B" w:rsidRPr="00497201">
        <w:rPr>
          <w:rFonts w:ascii="Book Antiqua" w:hAnsi="Book Antiqua"/>
          <w:color w:val="auto"/>
          <w:sz w:val="21"/>
          <w:szCs w:val="21"/>
        </w:rPr>
        <w:t>ritten statements. Some have integrated sustainability in their curricula; some are involved in sustainability research and outreach projects. African universities are also involved in sustainability partnership at various levels and some are setting aside funds for sustainability projects. Involvement in sustainable development initiatives is, however, still significantly small in most universities. However, the momentum attained so far is a sign of progress which universities can take advantage of in improving their sustainability practices (GUNi, IAU and AAU, 2011).</w:t>
      </w:r>
    </w:p>
    <w:p w:rsidR="00294827" w:rsidRPr="00497201" w:rsidRDefault="00294827" w:rsidP="00865558">
      <w:pPr>
        <w:pStyle w:val="NoSpacing"/>
        <w:jc w:val="both"/>
        <w:rPr>
          <w:rFonts w:ascii="Book Antiqua" w:hAnsi="Book Antiqua" w:cs="Times New Roman"/>
          <w:sz w:val="21"/>
          <w:szCs w:val="21"/>
        </w:rPr>
      </w:pPr>
    </w:p>
    <w:p w:rsidR="00294827" w:rsidRPr="00497201" w:rsidRDefault="00294827" w:rsidP="00865558">
      <w:pPr>
        <w:pStyle w:val="NoSpacing"/>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One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initiative is led by Sustainability Institute (SI) and Stellenbosch University. </w:t>
      </w:r>
      <w:r w:rsidR="00CE5F5B" w:rsidRPr="00497201">
        <w:rPr>
          <w:rFonts w:ascii="Book Antiqua" w:hAnsi="Book Antiqua" w:cs="Times New Roman"/>
          <w:sz w:val="21"/>
          <w:szCs w:val="21"/>
          <w:shd w:val="clear" w:color="auto" w:fill="FFFFFF"/>
        </w:rPr>
        <w:t xml:space="preserve">The SI is an international living and learning centre that </w:t>
      </w:r>
      <w:r w:rsidR="00CE5F5B" w:rsidRPr="00497201">
        <w:rPr>
          <w:rFonts w:ascii="Book Antiqua" w:hAnsi="Book Antiqua" w:cs="Times New Roman"/>
          <w:sz w:val="21"/>
          <w:szCs w:val="21"/>
          <w:shd w:val="clear" w:color="auto" w:fill="FFFFFF"/>
        </w:rPr>
        <w:lastRenderedPageBreak/>
        <w:t>provides a space for people to explore an approach to creating a more equitable society that lives in a way that sustains rather than destroys the eco-system within which all society is embedded. SI focus has been combining practice with theory in a way that integrates ecology and equity in support of a sustainable South Africa, with special reference to ways of reducing and eradicating poverty. Jointly with Stellenbosch University’s School of Public Leadership, SI designed and developed an</w:t>
      </w:r>
      <w:r w:rsidR="00383F68" w:rsidRPr="00497201">
        <w:rPr>
          <w:rFonts w:ascii="Book Antiqua" w:hAnsi="Book Antiqua" w:cs="Times New Roman"/>
          <w:sz w:val="21"/>
          <w:szCs w:val="21"/>
          <w:shd w:val="clear" w:color="auto" w:fill="FFFFFF"/>
        </w:rPr>
        <w:t xml:space="preserve"> </w:t>
      </w:r>
      <w:r w:rsidR="00CE5F5B" w:rsidRPr="00497201">
        <w:rPr>
          <w:rFonts w:ascii="Book Antiqua" w:hAnsi="Book Antiqua" w:cs="Times New Roman"/>
          <w:sz w:val="21"/>
          <w:szCs w:val="21"/>
          <w:shd w:val="clear" w:color="auto" w:fill="FFFFFF"/>
        </w:rPr>
        <w:t xml:space="preserve">MPhil in Sustainable Development. </w:t>
      </w:r>
      <w:r w:rsidR="00CE5F5B" w:rsidRPr="00497201">
        <w:rPr>
          <w:rFonts w:ascii="Book Antiqua" w:hAnsi="Book Antiqua" w:cs="Times New Roman"/>
          <w:sz w:val="21"/>
          <w:szCs w:val="21"/>
        </w:rPr>
        <w:t xml:space="preserve">The main aim of this taught, multi-disciplinary programme is to provide participants with an understanding and practical experience of the wide ranging contextual, conceptual and thematic issues involved in the planning, management and practice of sustainable development throughout the world. As the various global social and environmental crises deepen, a new generation is rising up to leadership positions in the public, private and non-profit sectors that are required to possess a broad trans-disciplinary understanding of the various dimensions of these crises and related solutions. This integrated Master’s Programme (which comprises two connected formal degrees at the Honours and Masters level) aims to equip these people with the knowledge, experience and skills they will need if they are to grow and develop within this new field of career development. </w:t>
      </w:r>
    </w:p>
    <w:p w:rsidR="00294827" w:rsidRPr="00497201" w:rsidRDefault="00294827" w:rsidP="00865558">
      <w:pPr>
        <w:pStyle w:val="NoSpacing"/>
        <w:jc w:val="both"/>
        <w:rPr>
          <w:rFonts w:ascii="Book Antiqua" w:hAnsi="Book Antiqua" w:cs="Times New Roman"/>
          <w:sz w:val="21"/>
          <w:szCs w:val="21"/>
        </w:rPr>
      </w:pPr>
    </w:p>
    <w:p w:rsidR="00CE5F5B" w:rsidRPr="00497201" w:rsidRDefault="00294827" w:rsidP="00865558">
      <w:pPr>
        <w:pStyle w:val="NoSpacing"/>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second initiative is the development of a</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joint</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postgraduate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program</w:t>
      </w:r>
      <w:r w:rsidR="0043361B" w:rsidRPr="00497201">
        <w:rPr>
          <w:rFonts w:ascii="Book Antiqua" w:hAnsi="Book Antiqua" w:cs="Times New Roman"/>
          <w:sz w:val="21"/>
          <w:szCs w:val="21"/>
        </w:rPr>
        <w:t>me</w:t>
      </w:r>
      <w:r w:rsidR="00CE5F5B" w:rsidRPr="00497201">
        <w:rPr>
          <w:rFonts w:ascii="Book Antiqua" w:hAnsi="Book Antiqua" w:cs="Times New Roman"/>
          <w:spacing w:val="-5"/>
          <w:sz w:val="21"/>
          <w:szCs w:val="21"/>
        </w:rPr>
        <w:t xml:space="preserve"> by </w:t>
      </w:r>
      <w:r w:rsidR="0043361B" w:rsidRPr="00497201">
        <w:rPr>
          <w:rFonts w:ascii="Book Antiqua" w:hAnsi="Book Antiqua" w:cs="Times New Roman"/>
          <w:spacing w:val="-5"/>
          <w:sz w:val="21"/>
          <w:szCs w:val="21"/>
        </w:rPr>
        <w:t xml:space="preserve">the </w:t>
      </w:r>
      <w:r w:rsidR="00CE5F5B" w:rsidRPr="00497201">
        <w:rPr>
          <w:rFonts w:ascii="Book Antiqua" w:hAnsi="Book Antiqua" w:cs="Times New Roman"/>
          <w:spacing w:val="-5"/>
          <w:sz w:val="21"/>
          <w:szCs w:val="21"/>
        </w:rPr>
        <w:t>United Nations University and eight leading Africa</w:t>
      </w:r>
      <w:r w:rsidR="0043361B" w:rsidRPr="00497201">
        <w:rPr>
          <w:rFonts w:ascii="Book Antiqua" w:hAnsi="Book Antiqua" w:cs="Times New Roman"/>
          <w:spacing w:val="-5"/>
          <w:sz w:val="21"/>
          <w:szCs w:val="21"/>
        </w:rPr>
        <w:t>n</w:t>
      </w:r>
      <w:r w:rsidR="00CE5F5B" w:rsidRPr="00497201">
        <w:rPr>
          <w:rFonts w:ascii="Book Antiqua" w:hAnsi="Book Antiqua" w:cs="Times New Roman"/>
          <w:spacing w:val="-5"/>
          <w:sz w:val="21"/>
          <w:szCs w:val="21"/>
        </w:rPr>
        <w:t xml:space="preserve"> universities to </w:t>
      </w:r>
      <w:r w:rsidR="00CE5F5B" w:rsidRPr="00497201">
        <w:rPr>
          <w:rFonts w:ascii="Book Antiqua" w:hAnsi="Book Antiqua" w:cs="Times New Roman"/>
          <w:sz w:val="21"/>
          <w:szCs w:val="21"/>
        </w:rPr>
        <w:t>shape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a</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new</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generation</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of</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professionals</w:t>
      </w:r>
      <w:r w:rsidR="00383F68" w:rsidRPr="00497201">
        <w:rPr>
          <w:rFonts w:ascii="Book Antiqua" w:hAnsi="Book Antiqua" w:cs="Times New Roman"/>
          <w:sz w:val="21"/>
          <w:szCs w:val="21"/>
        </w:rPr>
        <w:t xml:space="preserve"> </w:t>
      </w:r>
      <w:r w:rsidR="00CE5F5B" w:rsidRPr="00497201">
        <w:rPr>
          <w:rFonts w:ascii="Book Antiqua" w:hAnsi="Book Antiqua" w:cs="Times New Roman"/>
          <w:sz w:val="21"/>
          <w:szCs w:val="21"/>
        </w:rPr>
        <w:t>to face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the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challenges</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of</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Africa</w:t>
      </w:r>
      <w:r w:rsidR="00CE5F5B" w:rsidRPr="00497201">
        <w:rPr>
          <w:rFonts w:ascii="Book Antiqua" w:hAnsi="Book Antiqua" w:cs="Times New Roman"/>
          <w:spacing w:val="-3"/>
          <w:sz w:val="21"/>
          <w:szCs w:val="21"/>
        </w:rPr>
        <w:t>’</w:t>
      </w:r>
      <w:r w:rsidR="00CE5F5B" w:rsidRPr="00497201">
        <w:rPr>
          <w:rFonts w:ascii="Book Antiqua" w:hAnsi="Book Antiqua" w:cs="Times New Roman"/>
          <w:sz w:val="21"/>
          <w:szCs w:val="21"/>
        </w:rPr>
        <w:t>s</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sustainable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development. </w:t>
      </w:r>
      <w:r w:rsidR="00CE5F5B" w:rsidRPr="00497201">
        <w:rPr>
          <w:rFonts w:ascii="Book Antiqua" w:hAnsi="Book Antiqua" w:cs="Times New Roman"/>
          <w:spacing w:val="4"/>
          <w:sz w:val="21"/>
          <w:szCs w:val="21"/>
        </w:rPr>
        <w:t>This development work, seed-funded by the Japanese Government, is now complete, and the African partner universities have launched, three Master’s programs – namely, ‘Sustainable Integrated Rural Development Program’, ‘Sustainable Urban Development Program</w:t>
      </w:r>
      <w:r w:rsidR="0043361B" w:rsidRPr="00497201">
        <w:rPr>
          <w:rFonts w:ascii="Book Antiqua" w:hAnsi="Book Antiqua" w:cs="Times New Roman"/>
          <w:spacing w:val="4"/>
          <w:sz w:val="21"/>
          <w:szCs w:val="21"/>
        </w:rPr>
        <w:t>me</w:t>
      </w:r>
      <w:r w:rsidR="00CE5F5B" w:rsidRPr="00497201">
        <w:rPr>
          <w:rFonts w:ascii="Book Antiqua" w:hAnsi="Book Antiqua" w:cs="Times New Roman"/>
          <w:spacing w:val="4"/>
          <w:sz w:val="21"/>
          <w:szCs w:val="21"/>
        </w:rPr>
        <w:t xml:space="preserve">’ and ‘Mining </w:t>
      </w:r>
      <w:r w:rsidR="00002D24">
        <w:rPr>
          <w:rFonts w:ascii="Book Antiqua" w:hAnsi="Book Antiqua" w:cs="Times New Roman"/>
          <w:spacing w:val="4"/>
          <w:sz w:val="21"/>
          <w:szCs w:val="21"/>
        </w:rPr>
        <w:t xml:space="preserve">and Mineral Resources Program’- </w:t>
      </w:r>
      <w:r w:rsidR="00CE5F5B" w:rsidRPr="00497201">
        <w:rPr>
          <w:rFonts w:ascii="Book Antiqua" w:hAnsi="Book Antiqua" w:cs="Times New Roman"/>
          <w:spacing w:val="4"/>
          <w:sz w:val="21"/>
          <w:szCs w:val="21"/>
        </w:rPr>
        <w:t>enveloped together as ‘Education for Sustainable Development in Africa (ESDA)’. These program</w:t>
      </w:r>
      <w:r w:rsidR="0043361B" w:rsidRPr="00497201">
        <w:rPr>
          <w:rFonts w:ascii="Book Antiqua" w:hAnsi="Book Antiqua" w:cs="Times New Roman"/>
          <w:spacing w:val="4"/>
          <w:sz w:val="21"/>
          <w:szCs w:val="21"/>
        </w:rPr>
        <w:t>me</w:t>
      </w:r>
      <w:r w:rsidR="00CE5F5B" w:rsidRPr="00497201">
        <w:rPr>
          <w:rFonts w:ascii="Book Antiqua" w:hAnsi="Book Antiqua" w:cs="Times New Roman"/>
          <w:spacing w:val="4"/>
          <w:sz w:val="21"/>
          <w:szCs w:val="21"/>
        </w:rPr>
        <w:t xml:space="preserve">s not only combine the curricular and didactic strengths of the participating universities for synergistic effect but also promote interactions with all the relevant stakeholders of the development process, including community, industry and government through adoption of field-based, problem-solving approaches ‘on site’. </w:t>
      </w:r>
      <w:r w:rsidR="00CE5F5B" w:rsidRPr="00497201">
        <w:rPr>
          <w:rFonts w:ascii="Book Antiqua" w:hAnsi="Book Antiqua" w:cs="Times New Roman"/>
          <w:sz w:val="21"/>
          <w:szCs w:val="21"/>
        </w:rPr>
        <w:t>With the field-based and problem-solving oriented approach as well research by the Next Generation of Researchers (NGR) needed to support sustainable development in Africa, the program</w:t>
      </w:r>
      <w:r w:rsidR="0043361B" w:rsidRPr="00497201">
        <w:rPr>
          <w:rFonts w:ascii="Book Antiqua" w:hAnsi="Book Antiqua" w:cs="Times New Roman"/>
          <w:sz w:val="21"/>
          <w:szCs w:val="21"/>
        </w:rPr>
        <w:t>me</w:t>
      </w:r>
      <w:r w:rsidR="00CE5F5B" w:rsidRPr="00497201">
        <w:rPr>
          <w:rFonts w:ascii="Book Antiqua" w:hAnsi="Book Antiqua" w:cs="Times New Roman"/>
          <w:sz w:val="21"/>
          <w:szCs w:val="21"/>
        </w:rPr>
        <w:t xml:space="preserve"> has the aim of generating a new breed of African professionals who will work for greater social relevance and towards creating a lasting </w:t>
      </w:r>
      <w:r w:rsidR="00CE5F5B" w:rsidRPr="00497201">
        <w:rPr>
          <w:rFonts w:ascii="Book Antiqua" w:hAnsi="Book Antiqua" w:cs="Times New Roman"/>
          <w:sz w:val="21"/>
          <w:szCs w:val="21"/>
        </w:rPr>
        <w:lastRenderedPageBreak/>
        <w:t xml:space="preserve">impact on the developmental reality of Africa. </w:t>
      </w:r>
      <w:r w:rsidR="00CE5F5B" w:rsidRPr="00497201">
        <w:rPr>
          <w:rFonts w:ascii="Book Antiqua" w:hAnsi="Book Antiqua" w:cs="Times New Roman"/>
          <w:spacing w:val="4"/>
          <w:sz w:val="21"/>
          <w:szCs w:val="21"/>
        </w:rPr>
        <w:t>As such, the ESDA program</w:t>
      </w:r>
      <w:r w:rsidR="0043361B" w:rsidRPr="00497201">
        <w:rPr>
          <w:rFonts w:ascii="Book Antiqua" w:hAnsi="Book Antiqua" w:cs="Times New Roman"/>
          <w:spacing w:val="4"/>
          <w:sz w:val="21"/>
          <w:szCs w:val="21"/>
        </w:rPr>
        <w:t>me</w:t>
      </w:r>
      <w:r w:rsidR="00CE5F5B" w:rsidRPr="00497201">
        <w:rPr>
          <w:rFonts w:ascii="Book Antiqua" w:hAnsi="Book Antiqua" w:cs="Times New Roman"/>
          <w:spacing w:val="4"/>
          <w:sz w:val="21"/>
          <w:szCs w:val="21"/>
        </w:rPr>
        <w:t>s can offer a unique and innovative opportunity for professional development to mid-career development agents needing upgrading of specific skills as well as first degree finishers aspiring to pursue a career in sustainable development. Once fully established, the program</w:t>
      </w:r>
      <w:r w:rsidR="0043361B" w:rsidRPr="00497201">
        <w:rPr>
          <w:rFonts w:ascii="Book Antiqua" w:hAnsi="Book Antiqua" w:cs="Times New Roman"/>
          <w:spacing w:val="4"/>
          <w:sz w:val="21"/>
          <w:szCs w:val="21"/>
        </w:rPr>
        <w:t>me</w:t>
      </w:r>
      <w:r w:rsidR="00CE5F5B" w:rsidRPr="00497201">
        <w:rPr>
          <w:rFonts w:ascii="Book Antiqua" w:hAnsi="Book Antiqua" w:cs="Times New Roman"/>
          <w:spacing w:val="4"/>
          <w:sz w:val="21"/>
          <w:szCs w:val="21"/>
        </w:rPr>
        <w:t>s will serve as a vehicle for capacity generation to sustain the structural transformation of African countries, including building up of the private sector and strengthening of governance mechanisms.</w:t>
      </w:r>
    </w:p>
    <w:p w:rsidR="00CE5F5B" w:rsidRPr="00497201" w:rsidRDefault="00CE5F5B" w:rsidP="00865558">
      <w:pPr>
        <w:spacing w:after="0" w:line="240" w:lineRule="auto"/>
        <w:jc w:val="both"/>
        <w:rPr>
          <w:rFonts w:ascii="Book Antiqua" w:eastAsia="Times New Roman" w:hAnsi="Book Antiqua" w:cs="Times New Roman"/>
          <w:sz w:val="21"/>
          <w:szCs w:val="21"/>
          <w:lang w:val="en-US" w:eastAsia="en-US"/>
        </w:rPr>
      </w:pPr>
    </w:p>
    <w:p w:rsidR="00CE5F5B" w:rsidRPr="00497201" w:rsidRDefault="00294827" w:rsidP="00865558">
      <w:pPr>
        <w:spacing w:after="0" w:line="240" w:lineRule="auto"/>
        <w:jc w:val="both"/>
        <w:rPr>
          <w:rFonts w:ascii="Book Antiqua" w:hAnsi="Book Antiqua" w:cs="Times New Roman"/>
          <w:b/>
          <w:sz w:val="21"/>
          <w:szCs w:val="21"/>
        </w:rPr>
      </w:pPr>
      <w:r w:rsidRPr="00497201">
        <w:rPr>
          <w:rFonts w:ascii="Book Antiqua" w:hAnsi="Book Antiqua" w:cs="Times New Roman"/>
          <w:b/>
          <w:sz w:val="21"/>
          <w:szCs w:val="21"/>
        </w:rPr>
        <w:t>Conclusion</w:t>
      </w:r>
    </w:p>
    <w:p w:rsidR="00294827" w:rsidRPr="00497201" w:rsidRDefault="00294827" w:rsidP="00865558">
      <w:pPr>
        <w:spacing w:after="0" w:line="240" w:lineRule="auto"/>
        <w:jc w:val="both"/>
        <w:rPr>
          <w:rFonts w:ascii="Book Antiqua" w:hAnsi="Book Antiqua" w:cs="Times New Roman"/>
          <w:sz w:val="21"/>
          <w:szCs w:val="21"/>
        </w:rPr>
      </w:pPr>
    </w:p>
    <w:p w:rsidR="00CE5F5B" w:rsidRPr="00497201" w:rsidRDefault="0029482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The emerging “sustainability challenge” in Africa requires active participation of academia at higher education level to spearhead education, research and outreach that informs development. Higher education should address the challenge of relevance and survival through the promotion of field-work problem-solving curricular in support of its role of informing sustainable development in Africa. The embedding sustainability across all the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functions </w:t>
      </w:r>
      <w:r w:rsidR="00497201" w:rsidRPr="00497201">
        <w:rPr>
          <w:rFonts w:ascii="Book Antiqua" w:hAnsi="Book Antiqua" w:cs="Times New Roman"/>
          <w:sz w:val="21"/>
          <w:szCs w:val="21"/>
        </w:rPr>
        <w:t xml:space="preserve">of </w:t>
      </w:r>
      <w:r w:rsidR="00CE5F5B" w:rsidRPr="00497201">
        <w:rPr>
          <w:rFonts w:ascii="Book Antiqua" w:hAnsi="Book Antiqua" w:cs="Times New Roman"/>
          <w:sz w:val="21"/>
          <w:szCs w:val="21"/>
        </w:rPr>
        <w:t>higher education offers the potential for a university to make a</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significant contribution to sustainable development.</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This practice provides higher education an</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opportunity to confront their core values, their practices, their entrenched</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pedagogies, the way they program</w:t>
      </w:r>
      <w:r w:rsidR="00497201" w:rsidRPr="00497201">
        <w:rPr>
          <w:rFonts w:ascii="Book Antiqua" w:hAnsi="Book Antiqua" w:cs="Times New Roman"/>
          <w:sz w:val="21"/>
          <w:szCs w:val="21"/>
        </w:rPr>
        <w:t>me</w:t>
      </w:r>
      <w:r w:rsidR="00CE5F5B" w:rsidRPr="00497201">
        <w:rPr>
          <w:rFonts w:ascii="Book Antiqua" w:hAnsi="Book Antiqua" w:cs="Times New Roman"/>
          <w:sz w:val="21"/>
          <w:szCs w:val="21"/>
        </w:rPr>
        <w:t xml:space="preserve"> for student learning, and the way they think</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about resources and allocate these resources and their relationships with the</w:t>
      </w:r>
      <w:r w:rsidR="00714E6C"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broader community (Wals and Jickling, 2002). </w:t>
      </w:r>
    </w:p>
    <w:p w:rsidR="00294827" w:rsidRPr="00497201" w:rsidRDefault="00294827" w:rsidP="00865558">
      <w:pPr>
        <w:spacing w:after="0" w:line="240" w:lineRule="auto"/>
        <w:jc w:val="both"/>
        <w:rPr>
          <w:rFonts w:ascii="Book Antiqua" w:hAnsi="Book Antiqua" w:cs="Times New Roman"/>
          <w:sz w:val="21"/>
          <w:szCs w:val="21"/>
        </w:rPr>
      </w:pPr>
    </w:p>
    <w:p w:rsidR="00CE5F5B" w:rsidRPr="00497201" w:rsidRDefault="0029482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ab/>
      </w:r>
      <w:r w:rsidR="00CE5F5B" w:rsidRPr="00497201">
        <w:rPr>
          <w:rFonts w:ascii="Book Antiqua" w:hAnsi="Book Antiqua" w:cs="Times New Roman"/>
          <w:sz w:val="21"/>
          <w:szCs w:val="21"/>
        </w:rPr>
        <w:t>In Africa also, qualified human resources remain scarce compared to the continent’s development needs. This situation hinders growth and undermines the foundation for sustainable development. Because skills for the knowledge economy are built at the tertiary education level, improving tertiary education systems should be high on the African development agenda. African tertiary education institutions and policy makers must ensure that the workforce acquires the skills to compete, innovate, and respond to complex social, environmental, and economical situations.</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The paper argues for the promotion of inter-university collaboration among ‘like-minded’ African universities to establish joint graduate education and research programs for sustainable development in Africa. African universities should therefore be repositioned to secure its place domestically in the continent’s quest for sustainable development and to contribute to global knowledge pursuit for Future Earth’s global sustainability initiatives.</w:t>
      </w:r>
    </w:p>
    <w:p w:rsidR="00CE5F5B" w:rsidRPr="00497201" w:rsidRDefault="00294827" w:rsidP="00865558">
      <w:pPr>
        <w:spacing w:after="0" w:line="240" w:lineRule="auto"/>
        <w:jc w:val="both"/>
        <w:rPr>
          <w:rFonts w:ascii="Book Antiqua" w:hAnsi="Book Antiqua" w:cs="Times New Roman"/>
          <w:b/>
          <w:sz w:val="21"/>
          <w:szCs w:val="21"/>
        </w:rPr>
      </w:pPr>
      <w:bookmarkStart w:id="0" w:name="_GoBack"/>
      <w:bookmarkEnd w:id="0"/>
      <w:r w:rsidRPr="00497201">
        <w:rPr>
          <w:rFonts w:ascii="Book Antiqua" w:hAnsi="Book Antiqua" w:cs="Times New Roman"/>
          <w:b/>
          <w:sz w:val="21"/>
          <w:szCs w:val="21"/>
        </w:rPr>
        <w:lastRenderedPageBreak/>
        <w:t>References</w:t>
      </w:r>
    </w:p>
    <w:p w:rsidR="00294827" w:rsidRPr="00497201" w:rsidRDefault="00294827" w:rsidP="00865558">
      <w:pPr>
        <w:widowControl w:val="0"/>
        <w:autoSpaceDE w:val="0"/>
        <w:autoSpaceDN w:val="0"/>
        <w:adjustRightInd w:val="0"/>
        <w:spacing w:after="0" w:line="240" w:lineRule="auto"/>
        <w:jc w:val="both"/>
        <w:rPr>
          <w:rFonts w:ascii="Book Antiqua" w:hAnsi="Book Antiqua" w:cs="Times New Roman"/>
          <w:sz w:val="21"/>
          <w:szCs w:val="21"/>
        </w:rPr>
      </w:pPr>
    </w:p>
    <w:p w:rsidR="00CE5F5B" w:rsidRPr="00497201" w:rsidRDefault="00CE5F5B" w:rsidP="00865558">
      <w:pPr>
        <w:widowControl w:val="0"/>
        <w:autoSpaceDE w:val="0"/>
        <w:autoSpaceDN w:val="0"/>
        <w:adjustRightInd w:val="0"/>
        <w:spacing w:after="0" w:line="240" w:lineRule="auto"/>
        <w:jc w:val="both"/>
        <w:rPr>
          <w:rFonts w:ascii="Book Antiqua" w:hAnsi="Book Antiqua" w:cs="Times New Roman"/>
          <w:sz w:val="21"/>
          <w:szCs w:val="21"/>
          <w:lang w:val="en-US"/>
        </w:rPr>
      </w:pPr>
      <w:r w:rsidRPr="00497201">
        <w:rPr>
          <w:rFonts w:ascii="Book Antiqua" w:hAnsi="Book Antiqua" w:cs="Times New Roman"/>
          <w:sz w:val="21"/>
          <w:szCs w:val="21"/>
        </w:rPr>
        <w:t xml:space="preserve">Bloom, D., </w:t>
      </w:r>
      <w:r w:rsidR="00CA2743" w:rsidRPr="00497201">
        <w:rPr>
          <w:rFonts w:ascii="Book Antiqua" w:hAnsi="Book Antiqua" w:cs="Times New Roman"/>
          <w:sz w:val="21"/>
          <w:szCs w:val="21"/>
        </w:rPr>
        <w:t>D. Canning</w:t>
      </w:r>
      <w:r w:rsidRPr="00497201">
        <w:rPr>
          <w:rFonts w:ascii="Book Antiqua" w:hAnsi="Book Antiqua" w:cs="Times New Roman"/>
          <w:sz w:val="21"/>
          <w:szCs w:val="21"/>
        </w:rPr>
        <w:t xml:space="preserve"> and </w:t>
      </w:r>
      <w:r w:rsidR="00CA2743" w:rsidRPr="00497201">
        <w:rPr>
          <w:rFonts w:ascii="Book Antiqua" w:hAnsi="Book Antiqua" w:cs="Times New Roman"/>
          <w:sz w:val="21"/>
          <w:szCs w:val="21"/>
        </w:rPr>
        <w:t>K. Chan</w:t>
      </w:r>
      <w:r w:rsidR="00294827" w:rsidRPr="00497201">
        <w:rPr>
          <w:rFonts w:ascii="Book Antiqua" w:hAnsi="Book Antiqua" w:cs="Times New Roman"/>
          <w:sz w:val="21"/>
          <w:szCs w:val="21"/>
        </w:rPr>
        <w:t xml:space="preserve"> </w:t>
      </w:r>
      <w:r w:rsidRPr="00497201">
        <w:rPr>
          <w:rFonts w:ascii="Book Antiqua" w:hAnsi="Book Antiqua" w:cs="Times New Roman"/>
          <w:sz w:val="21"/>
          <w:szCs w:val="21"/>
        </w:rPr>
        <w:t>(2005).</w:t>
      </w:r>
      <w:r w:rsidR="00646961" w:rsidRPr="00497201">
        <w:rPr>
          <w:rFonts w:ascii="Book Antiqua" w:hAnsi="Book Antiqua" w:cs="Times New Roman"/>
          <w:sz w:val="21"/>
          <w:szCs w:val="21"/>
        </w:rPr>
        <w:t xml:space="preserve"> </w:t>
      </w:r>
      <w:r w:rsidRPr="00497201">
        <w:rPr>
          <w:rFonts w:ascii="Book Antiqua" w:hAnsi="Book Antiqua" w:cs="Times New Roman"/>
          <w:sz w:val="21"/>
          <w:szCs w:val="21"/>
        </w:rPr>
        <w:t xml:space="preserve">Higher Education and </w:t>
      </w:r>
      <w:r w:rsidR="00294827" w:rsidRPr="00497201">
        <w:rPr>
          <w:rFonts w:ascii="Book Antiqua" w:hAnsi="Book Antiqua" w:cs="Times New Roman"/>
          <w:sz w:val="21"/>
          <w:szCs w:val="21"/>
        </w:rPr>
        <w:tab/>
      </w:r>
      <w:r w:rsidRPr="00497201">
        <w:rPr>
          <w:rFonts w:ascii="Book Antiqua" w:hAnsi="Book Antiqua" w:cs="Times New Roman"/>
          <w:sz w:val="21"/>
          <w:szCs w:val="21"/>
        </w:rPr>
        <w:t>Economic Development in Africa. World Bank</w:t>
      </w:r>
      <w:r w:rsidR="00294827" w:rsidRPr="00497201">
        <w:rPr>
          <w:rFonts w:ascii="Book Antiqua" w:hAnsi="Book Antiqua" w:cs="Times New Roman"/>
          <w:sz w:val="21"/>
          <w:szCs w:val="21"/>
        </w:rPr>
        <w:t>.</w:t>
      </w:r>
    </w:p>
    <w:p w:rsidR="00CE5F5B" w:rsidRPr="00497201" w:rsidRDefault="00CE5F5B" w:rsidP="00865558">
      <w:pPr>
        <w:shd w:val="clear" w:color="auto" w:fill="FFFFFF"/>
        <w:spacing w:after="0" w:line="240" w:lineRule="auto"/>
        <w:jc w:val="both"/>
        <w:textAlignment w:val="baseline"/>
        <w:rPr>
          <w:rFonts w:ascii="Book Antiqua" w:hAnsi="Book Antiqua" w:cs="Times New Roman"/>
          <w:sz w:val="21"/>
          <w:szCs w:val="21"/>
        </w:rPr>
      </w:pPr>
      <w:r w:rsidRPr="00497201">
        <w:rPr>
          <w:rFonts w:ascii="Book Antiqua" w:eastAsia="Times New Roman" w:hAnsi="Book Antiqua" w:cs="Times New Roman"/>
          <w:sz w:val="21"/>
          <w:szCs w:val="21"/>
        </w:rPr>
        <w:t>Bor</w:t>
      </w:r>
      <w:hyperlink r:id="rId12" w:history="1">
        <w:r w:rsidRPr="00497201">
          <w:rPr>
            <w:rFonts w:ascii="Book Antiqua" w:eastAsia="Times New Roman" w:hAnsi="Book Antiqua" w:cs="Times New Roman"/>
            <w:sz w:val="21"/>
            <w:szCs w:val="21"/>
            <w:bdr w:val="none" w:sz="0" w:space="0" w:color="auto" w:frame="1"/>
          </w:rPr>
          <w:t>W</w:t>
        </w:r>
        <w:r w:rsidRPr="00497201">
          <w:rPr>
            <w:rFonts w:ascii="Book Antiqua" w:hAnsi="Book Antiqua" w:cs="Times New Roman"/>
            <w:sz w:val="21"/>
            <w:szCs w:val="21"/>
            <w:bdr w:val="none" w:sz="0" w:space="0" w:color="auto" w:frame="1"/>
          </w:rPr>
          <w:t>.</w:t>
        </w:r>
      </w:hyperlink>
      <w:r w:rsidRPr="00497201">
        <w:rPr>
          <w:rFonts w:ascii="Book Antiqua" w:hAnsi="Book Antiqua" w:cs="Times New Roman"/>
          <w:sz w:val="21"/>
          <w:szCs w:val="21"/>
        </w:rPr>
        <w:t xml:space="preserve"> and </w:t>
      </w:r>
      <w:r w:rsidR="00294827" w:rsidRPr="00497201">
        <w:rPr>
          <w:rFonts w:ascii="Book Antiqua" w:hAnsi="Book Antiqua" w:cs="Times New Roman"/>
          <w:sz w:val="21"/>
          <w:szCs w:val="21"/>
        </w:rPr>
        <w:t xml:space="preserve">J. C. M. </w:t>
      </w:r>
      <w:r w:rsidRPr="00497201">
        <w:rPr>
          <w:rFonts w:ascii="Book Antiqua" w:hAnsi="Book Antiqua" w:cs="Times New Roman"/>
          <w:sz w:val="21"/>
          <w:szCs w:val="21"/>
        </w:rPr>
        <w:t xml:space="preserve">Shute </w:t>
      </w:r>
      <w:hyperlink r:id="rId13" w:history="1">
        <w:r w:rsidRPr="00497201">
          <w:rPr>
            <w:rFonts w:ascii="Book Antiqua" w:eastAsia="Times New Roman" w:hAnsi="Book Antiqua" w:cs="Times New Roman"/>
            <w:sz w:val="21"/>
            <w:szCs w:val="21"/>
            <w:bdr w:val="none" w:sz="0" w:space="0" w:color="auto" w:frame="1"/>
          </w:rPr>
          <w:t xml:space="preserve"> </w:t>
        </w:r>
      </w:hyperlink>
      <w:r w:rsidRPr="00497201">
        <w:rPr>
          <w:rFonts w:ascii="Book Antiqua" w:hAnsi="Book Antiqua" w:cs="Times New Roman"/>
          <w:sz w:val="21"/>
          <w:szCs w:val="21"/>
        </w:rPr>
        <w:t>(1991).</w:t>
      </w:r>
      <w:r w:rsidR="00294827" w:rsidRPr="00497201">
        <w:rPr>
          <w:rFonts w:ascii="Book Antiqua" w:hAnsi="Book Antiqua" w:cs="Times New Roman"/>
          <w:sz w:val="21"/>
          <w:szCs w:val="21"/>
        </w:rPr>
        <w:t xml:space="preserve"> </w:t>
      </w:r>
      <w:r w:rsidRPr="00497201">
        <w:rPr>
          <w:rFonts w:ascii="Book Antiqua" w:hAnsi="Book Antiqua" w:cs="Times New Roman"/>
          <w:spacing w:val="5"/>
          <w:sz w:val="21"/>
          <w:szCs w:val="21"/>
        </w:rPr>
        <w:t xml:space="preserve">Higher education in the Third World: </w:t>
      </w:r>
      <w:r w:rsidR="00294827" w:rsidRPr="00497201">
        <w:rPr>
          <w:rFonts w:ascii="Book Antiqua" w:hAnsi="Book Antiqua" w:cs="Times New Roman"/>
          <w:spacing w:val="5"/>
          <w:sz w:val="21"/>
          <w:szCs w:val="21"/>
        </w:rPr>
        <w:tab/>
      </w:r>
      <w:r w:rsidRPr="00497201">
        <w:rPr>
          <w:rFonts w:ascii="Book Antiqua" w:hAnsi="Book Antiqua" w:cs="Times New Roman"/>
          <w:spacing w:val="5"/>
          <w:sz w:val="21"/>
          <w:szCs w:val="21"/>
        </w:rPr>
        <w:t>status symbol or instrument for development?</w:t>
      </w:r>
      <w:r w:rsidR="00714E6C" w:rsidRPr="00497201">
        <w:rPr>
          <w:rFonts w:ascii="Book Antiqua" w:hAnsi="Book Antiqua" w:cs="Times New Roman"/>
          <w:spacing w:val="5"/>
          <w:sz w:val="21"/>
          <w:szCs w:val="21"/>
        </w:rPr>
        <w:t xml:space="preserve"> </w:t>
      </w:r>
      <w:r w:rsidRPr="00497201">
        <w:rPr>
          <w:rFonts w:ascii="Book Antiqua" w:hAnsi="Book Antiqua" w:cs="Times New Roman"/>
          <w:sz w:val="21"/>
          <w:szCs w:val="21"/>
          <w:bdr w:val="none" w:sz="0" w:space="0" w:color="auto" w:frame="1"/>
        </w:rPr>
        <w:t>Higher Education</w:t>
      </w:r>
      <w:r w:rsidRPr="00497201">
        <w:rPr>
          <w:rFonts w:ascii="Book Antiqua" w:hAnsi="Book Antiqua" w:cs="Times New Roman"/>
          <w:sz w:val="21"/>
          <w:szCs w:val="21"/>
        </w:rPr>
        <w:t xml:space="preserve">, </w:t>
      </w:r>
      <w:r w:rsidR="00294827" w:rsidRPr="00497201">
        <w:rPr>
          <w:rFonts w:ascii="Book Antiqua" w:hAnsi="Book Antiqua" w:cs="Times New Roman"/>
          <w:sz w:val="21"/>
          <w:szCs w:val="21"/>
        </w:rPr>
        <w:tab/>
      </w:r>
      <w:r w:rsidRPr="00497201">
        <w:rPr>
          <w:rFonts w:ascii="Book Antiqua" w:hAnsi="Book Antiqua" w:cs="Times New Roman"/>
          <w:sz w:val="21"/>
          <w:szCs w:val="21"/>
          <w:bdr w:val="none" w:sz="0" w:space="0" w:color="auto" w:frame="1"/>
          <w:shd w:val="clear" w:color="auto" w:fill="FFFFFF"/>
        </w:rPr>
        <w:t>July 1991</w:t>
      </w:r>
      <w:r w:rsidRPr="00497201">
        <w:rPr>
          <w:rFonts w:ascii="Book Antiqua" w:hAnsi="Book Antiqua" w:cs="Times New Roman"/>
          <w:sz w:val="21"/>
          <w:szCs w:val="21"/>
          <w:shd w:val="clear" w:color="auto" w:fill="FFFFFF"/>
        </w:rPr>
        <w:t>,</w:t>
      </w:r>
      <w:r w:rsidRPr="00497201">
        <w:rPr>
          <w:rStyle w:val="apple-converted-space"/>
          <w:rFonts w:ascii="Book Antiqua" w:hAnsi="Book Antiqua" w:cs="Times New Roman"/>
          <w:sz w:val="21"/>
          <w:szCs w:val="21"/>
          <w:shd w:val="clear" w:color="auto" w:fill="FFFFFF"/>
        </w:rPr>
        <w:t> </w:t>
      </w:r>
      <w:r w:rsidRPr="00497201">
        <w:rPr>
          <w:rFonts w:ascii="Book Antiqua" w:hAnsi="Book Antiqua" w:cs="Times New Roman"/>
          <w:sz w:val="21"/>
          <w:szCs w:val="21"/>
          <w:bdr w:val="none" w:sz="0" w:space="0" w:color="auto" w:frame="1"/>
          <w:shd w:val="clear" w:color="auto" w:fill="FFFFFF"/>
        </w:rPr>
        <w:t>Volume 22</w:t>
      </w:r>
      <w:r w:rsidRPr="00497201">
        <w:rPr>
          <w:rFonts w:ascii="Book Antiqua" w:hAnsi="Book Antiqua" w:cs="Times New Roman"/>
          <w:sz w:val="21"/>
          <w:szCs w:val="21"/>
          <w:shd w:val="clear" w:color="auto" w:fill="FFFFFF"/>
        </w:rPr>
        <w:t>,</w:t>
      </w:r>
      <w:r w:rsidRPr="00497201">
        <w:rPr>
          <w:rStyle w:val="apple-converted-space"/>
          <w:rFonts w:ascii="Book Antiqua" w:hAnsi="Book Antiqua" w:cs="Times New Roman"/>
          <w:sz w:val="21"/>
          <w:szCs w:val="21"/>
          <w:shd w:val="clear" w:color="auto" w:fill="FFFFFF"/>
        </w:rPr>
        <w:t> </w:t>
      </w:r>
      <w:r w:rsidRPr="00497201">
        <w:rPr>
          <w:rFonts w:ascii="Book Antiqua" w:hAnsi="Book Antiqua" w:cs="Times New Roman"/>
          <w:sz w:val="21"/>
          <w:szCs w:val="21"/>
          <w:bdr w:val="none" w:sz="0" w:space="0" w:color="auto" w:frame="1"/>
          <w:shd w:val="clear" w:color="auto" w:fill="FFFFFF"/>
        </w:rPr>
        <w:t>Issue 1</w:t>
      </w:r>
      <w:r w:rsidRPr="00497201">
        <w:rPr>
          <w:rFonts w:ascii="Book Antiqua" w:hAnsi="Book Antiqua" w:cs="Times New Roman"/>
          <w:sz w:val="21"/>
          <w:szCs w:val="21"/>
          <w:shd w:val="clear" w:color="auto" w:fill="FFFFFF"/>
        </w:rPr>
        <w:t>,</w:t>
      </w:r>
      <w:r w:rsidRPr="00497201">
        <w:rPr>
          <w:rStyle w:val="apple-converted-space"/>
          <w:rFonts w:ascii="Book Antiqua" w:hAnsi="Book Antiqua" w:cs="Times New Roman"/>
          <w:sz w:val="21"/>
          <w:szCs w:val="21"/>
          <w:shd w:val="clear" w:color="auto" w:fill="FFFFFF"/>
        </w:rPr>
        <w:t> </w:t>
      </w:r>
      <w:r w:rsidRPr="00497201">
        <w:rPr>
          <w:rFonts w:ascii="Book Antiqua" w:hAnsi="Book Antiqua" w:cs="Times New Roman"/>
          <w:sz w:val="21"/>
          <w:szCs w:val="21"/>
          <w:bdr w:val="none" w:sz="0" w:space="0" w:color="auto" w:frame="1"/>
          <w:shd w:val="clear" w:color="auto" w:fill="FFFFFF"/>
        </w:rPr>
        <w:t>pp 1-15</w:t>
      </w:r>
      <w:r w:rsidR="00294827" w:rsidRPr="00497201">
        <w:rPr>
          <w:rFonts w:ascii="Book Antiqua" w:hAnsi="Book Antiqua" w:cs="Times New Roman"/>
          <w:sz w:val="21"/>
          <w:szCs w:val="21"/>
          <w:bdr w:val="none" w:sz="0" w:space="0" w:color="auto" w:frame="1"/>
          <w:shd w:val="clear" w:color="auto" w:fill="FFFFFF"/>
        </w:rPr>
        <w:t>.</w:t>
      </w:r>
    </w:p>
    <w:p w:rsidR="00CE5F5B" w:rsidRPr="00497201" w:rsidRDefault="00CE5F5B" w:rsidP="00865558">
      <w:pPr>
        <w:autoSpaceDE w:val="0"/>
        <w:autoSpaceDN w:val="0"/>
        <w:adjustRightInd w:val="0"/>
        <w:spacing w:after="0" w:line="240" w:lineRule="auto"/>
        <w:jc w:val="both"/>
        <w:rPr>
          <w:rFonts w:ascii="Book Antiqua" w:hAnsi="Book Antiqua"/>
          <w:sz w:val="21"/>
          <w:szCs w:val="21"/>
        </w:rPr>
      </w:pPr>
      <w:r w:rsidRPr="00497201">
        <w:rPr>
          <w:rFonts w:ascii="Book Antiqua" w:hAnsi="Book Antiqua"/>
          <w:sz w:val="21"/>
          <w:szCs w:val="21"/>
        </w:rPr>
        <w:t xml:space="preserve">Coomber, T. (1991). A consultation on higher education in Africa: A report </w:t>
      </w:r>
      <w:r w:rsidR="00294827" w:rsidRPr="00497201">
        <w:rPr>
          <w:rFonts w:ascii="Book Antiqua" w:hAnsi="Book Antiqua"/>
          <w:sz w:val="21"/>
          <w:szCs w:val="21"/>
        </w:rPr>
        <w:tab/>
      </w:r>
      <w:r w:rsidRPr="00497201">
        <w:rPr>
          <w:rFonts w:ascii="Book Antiqua" w:hAnsi="Book Antiqua"/>
          <w:sz w:val="21"/>
          <w:szCs w:val="21"/>
        </w:rPr>
        <w:t xml:space="preserve">to Ford foundation and Rockefeller Foundation. London </w:t>
      </w:r>
      <w:r w:rsidR="00497201">
        <w:rPr>
          <w:rFonts w:ascii="Book Antiqua" w:hAnsi="Book Antiqua"/>
          <w:sz w:val="21"/>
          <w:szCs w:val="21"/>
        </w:rPr>
        <w:t>U</w:t>
      </w:r>
      <w:r w:rsidRPr="00497201">
        <w:rPr>
          <w:rFonts w:ascii="Book Antiqua" w:hAnsi="Book Antiqua"/>
          <w:sz w:val="21"/>
          <w:szCs w:val="21"/>
        </w:rPr>
        <w:t xml:space="preserve">niversity </w:t>
      </w:r>
      <w:r w:rsidR="00294827" w:rsidRPr="00497201">
        <w:rPr>
          <w:rFonts w:ascii="Book Antiqua" w:hAnsi="Book Antiqua"/>
          <w:sz w:val="21"/>
          <w:szCs w:val="21"/>
        </w:rPr>
        <w:tab/>
      </w:r>
      <w:r w:rsidR="00497201">
        <w:rPr>
          <w:rFonts w:ascii="Book Antiqua" w:hAnsi="Book Antiqua"/>
          <w:sz w:val="21"/>
          <w:szCs w:val="21"/>
        </w:rPr>
        <w:t>I</w:t>
      </w:r>
      <w:r w:rsidRPr="00497201">
        <w:rPr>
          <w:rFonts w:ascii="Book Antiqua" w:hAnsi="Book Antiqua"/>
          <w:sz w:val="21"/>
          <w:szCs w:val="21"/>
        </w:rPr>
        <w:t xml:space="preserve">nstitute of </w:t>
      </w:r>
      <w:r w:rsidR="00497201">
        <w:rPr>
          <w:rFonts w:ascii="Book Antiqua" w:hAnsi="Book Antiqua"/>
          <w:sz w:val="21"/>
          <w:szCs w:val="21"/>
        </w:rPr>
        <w:t>E</w:t>
      </w:r>
      <w:r w:rsidRPr="00497201">
        <w:rPr>
          <w:rFonts w:ascii="Book Antiqua" w:hAnsi="Book Antiqua"/>
          <w:sz w:val="21"/>
          <w:szCs w:val="21"/>
        </w:rPr>
        <w:t>ducation, England</w:t>
      </w:r>
      <w:r w:rsidR="00D002E2" w:rsidRPr="00497201">
        <w:rPr>
          <w:rFonts w:ascii="Book Antiqua" w:hAnsi="Book Antiqua"/>
          <w:sz w:val="21"/>
          <w:szCs w:val="21"/>
        </w:rPr>
        <w:t>.</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 xml:space="preserve">Enos, J. (1995). In pursuit of science and technology in Sub-Saharan Africa: </w:t>
      </w:r>
      <w:r w:rsidR="001B1852" w:rsidRPr="00497201">
        <w:rPr>
          <w:rFonts w:ascii="Book Antiqua" w:hAnsi="Book Antiqua" w:cs="Times New Roman"/>
          <w:sz w:val="21"/>
          <w:szCs w:val="21"/>
        </w:rPr>
        <w:tab/>
      </w:r>
      <w:r w:rsidRPr="00497201">
        <w:rPr>
          <w:rFonts w:ascii="Book Antiqua" w:hAnsi="Book Antiqua" w:cs="Times New Roman"/>
          <w:sz w:val="21"/>
          <w:szCs w:val="21"/>
        </w:rPr>
        <w:t>The impact of structural adjustment program</w:t>
      </w:r>
      <w:r w:rsidR="00494140">
        <w:rPr>
          <w:rFonts w:ascii="Book Antiqua" w:hAnsi="Book Antiqua" w:cs="Times New Roman"/>
          <w:sz w:val="21"/>
          <w:szCs w:val="21"/>
        </w:rPr>
        <w:t>me</w:t>
      </w:r>
      <w:r w:rsidRPr="00497201">
        <w:rPr>
          <w:rFonts w:ascii="Book Antiqua" w:hAnsi="Book Antiqua" w:cs="Times New Roman"/>
          <w:sz w:val="21"/>
          <w:szCs w:val="21"/>
        </w:rPr>
        <w:t xml:space="preserve">s. New York: </w:t>
      </w:r>
      <w:r w:rsidR="001B1852" w:rsidRPr="00497201">
        <w:rPr>
          <w:rFonts w:ascii="Book Antiqua" w:hAnsi="Book Antiqua" w:cs="Times New Roman"/>
          <w:sz w:val="21"/>
          <w:szCs w:val="21"/>
        </w:rPr>
        <w:tab/>
      </w:r>
      <w:r w:rsidRPr="00497201">
        <w:rPr>
          <w:rFonts w:ascii="Book Antiqua" w:hAnsi="Book Antiqua" w:cs="Times New Roman"/>
          <w:sz w:val="21"/>
          <w:szCs w:val="21"/>
        </w:rPr>
        <w:t xml:space="preserve">Routledge. </w:t>
      </w:r>
    </w:p>
    <w:p w:rsidR="00CE5F5B" w:rsidRPr="00497201" w:rsidRDefault="00CE5F5B" w:rsidP="00865558">
      <w:pPr>
        <w:autoSpaceDE w:val="0"/>
        <w:autoSpaceDN w:val="0"/>
        <w:adjustRightInd w:val="0"/>
        <w:spacing w:after="0" w:line="240" w:lineRule="auto"/>
        <w:jc w:val="both"/>
        <w:rPr>
          <w:rFonts w:ascii="Book Antiqua" w:hAnsi="Book Antiqua"/>
          <w:sz w:val="21"/>
          <w:szCs w:val="21"/>
        </w:rPr>
      </w:pPr>
      <w:r w:rsidRPr="00497201">
        <w:rPr>
          <w:rFonts w:ascii="Book Antiqua" w:hAnsi="Book Antiqua"/>
          <w:sz w:val="21"/>
          <w:szCs w:val="21"/>
        </w:rPr>
        <w:t>Eshiwani, S. G. (1999). Challenges and Strategies for the 21</w:t>
      </w:r>
      <w:r w:rsidRPr="00497201">
        <w:rPr>
          <w:rFonts w:ascii="Book Antiqua" w:hAnsi="Book Antiqua"/>
          <w:sz w:val="21"/>
          <w:szCs w:val="21"/>
          <w:vertAlign w:val="superscript"/>
        </w:rPr>
        <w:t>st</w:t>
      </w:r>
      <w:r w:rsidRPr="00497201">
        <w:rPr>
          <w:rFonts w:ascii="Book Antiqua" w:hAnsi="Book Antiqua"/>
          <w:sz w:val="21"/>
          <w:szCs w:val="21"/>
        </w:rPr>
        <w:t xml:space="preserve"> Century; IIE </w:t>
      </w:r>
      <w:r w:rsidR="001B1852" w:rsidRPr="00497201">
        <w:rPr>
          <w:rFonts w:ascii="Book Antiqua" w:hAnsi="Book Antiqua"/>
          <w:sz w:val="21"/>
          <w:szCs w:val="21"/>
        </w:rPr>
        <w:tab/>
      </w:r>
      <w:r w:rsidRPr="00497201">
        <w:rPr>
          <w:rFonts w:ascii="Book Antiqua" w:hAnsi="Book Antiqua"/>
          <w:sz w:val="21"/>
          <w:szCs w:val="21"/>
        </w:rPr>
        <w:t>Research Report Number Twenty-nine</w:t>
      </w:r>
      <w:r w:rsidR="00D002E2" w:rsidRPr="00497201">
        <w:rPr>
          <w:rFonts w:ascii="Book Antiqua" w:hAnsi="Book Antiqua"/>
          <w:sz w:val="21"/>
          <w:szCs w:val="21"/>
        </w:rPr>
        <w:t>.</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GUNi, IAU and AAU, (2011).</w:t>
      </w:r>
      <w:r w:rsidR="00646961" w:rsidRPr="00497201">
        <w:rPr>
          <w:rFonts w:ascii="Book Antiqua" w:hAnsi="Book Antiqua" w:cs="Times New Roman"/>
          <w:sz w:val="21"/>
          <w:szCs w:val="21"/>
        </w:rPr>
        <w:t xml:space="preserve"> </w:t>
      </w:r>
      <w:r w:rsidRPr="00497201">
        <w:rPr>
          <w:rFonts w:ascii="Book Antiqua" w:hAnsi="Book Antiqua" w:cs="Times New Roman"/>
          <w:bCs/>
          <w:sz w:val="21"/>
          <w:szCs w:val="21"/>
        </w:rPr>
        <w:t xml:space="preserve">The promotion of sustainable development </w:t>
      </w:r>
      <w:r w:rsidR="00646961" w:rsidRPr="00497201">
        <w:rPr>
          <w:rFonts w:ascii="Book Antiqua" w:hAnsi="Book Antiqua" w:cs="Times New Roman"/>
          <w:bCs/>
          <w:sz w:val="21"/>
          <w:szCs w:val="21"/>
        </w:rPr>
        <w:tab/>
      </w:r>
      <w:r w:rsidRPr="00497201">
        <w:rPr>
          <w:rFonts w:ascii="Book Antiqua" w:hAnsi="Book Antiqua" w:cs="Times New Roman"/>
          <w:bCs/>
          <w:sz w:val="21"/>
          <w:szCs w:val="21"/>
        </w:rPr>
        <w:t xml:space="preserve">by higher education institutions in Sub-Saharan Africa, Survey </w:t>
      </w:r>
      <w:r w:rsidR="00646961" w:rsidRPr="00497201">
        <w:rPr>
          <w:rFonts w:ascii="Book Antiqua" w:hAnsi="Book Antiqua" w:cs="Times New Roman"/>
          <w:bCs/>
          <w:sz w:val="21"/>
          <w:szCs w:val="21"/>
        </w:rPr>
        <w:tab/>
      </w:r>
      <w:r w:rsidRPr="00497201">
        <w:rPr>
          <w:rFonts w:ascii="Book Antiqua" w:hAnsi="Book Antiqua" w:cs="Times New Roman"/>
          <w:bCs/>
          <w:sz w:val="21"/>
          <w:szCs w:val="21"/>
        </w:rPr>
        <w:t>Report.</w:t>
      </w:r>
      <w:r w:rsidR="00646961" w:rsidRPr="00497201">
        <w:rPr>
          <w:rFonts w:ascii="Book Antiqua" w:hAnsi="Book Antiqua" w:cs="Times New Roman"/>
          <w:bCs/>
          <w:sz w:val="21"/>
          <w:szCs w:val="21"/>
        </w:rPr>
        <w:t xml:space="preserve"> </w:t>
      </w:r>
      <w:r w:rsidRPr="00497201">
        <w:rPr>
          <w:rFonts w:ascii="Book Antiqua" w:hAnsi="Book Antiqua" w:cs="Times New Roman"/>
          <w:sz w:val="21"/>
          <w:szCs w:val="21"/>
        </w:rPr>
        <w:t>GUNi, IAU and AAU</w:t>
      </w:r>
      <w:r w:rsidR="00D002E2" w:rsidRPr="00497201">
        <w:rPr>
          <w:rFonts w:ascii="Book Antiqua" w:hAnsi="Book Antiqua" w:cs="Times New Roman"/>
          <w:sz w:val="21"/>
          <w:szCs w:val="21"/>
        </w:rPr>
        <w:t>.</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 xml:space="preserve">Johnston, D.B., and </w:t>
      </w:r>
      <w:r w:rsidR="001B1852" w:rsidRPr="00497201">
        <w:rPr>
          <w:rFonts w:ascii="Book Antiqua" w:hAnsi="Book Antiqua" w:cs="Times New Roman"/>
          <w:sz w:val="21"/>
          <w:szCs w:val="21"/>
        </w:rPr>
        <w:t xml:space="preserve">D. </w:t>
      </w:r>
      <w:r w:rsidRPr="00497201">
        <w:rPr>
          <w:rFonts w:ascii="Book Antiqua" w:hAnsi="Book Antiqua" w:cs="Times New Roman"/>
          <w:sz w:val="21"/>
          <w:szCs w:val="21"/>
        </w:rPr>
        <w:t xml:space="preserve">Teferra (2004). Introduction. Journal of Higher </w:t>
      </w:r>
      <w:r w:rsidR="001B1852" w:rsidRPr="00497201">
        <w:rPr>
          <w:rFonts w:ascii="Book Antiqua" w:hAnsi="Book Antiqua" w:cs="Times New Roman"/>
          <w:sz w:val="21"/>
          <w:szCs w:val="21"/>
        </w:rPr>
        <w:tab/>
      </w:r>
      <w:r w:rsidRPr="00497201">
        <w:rPr>
          <w:rFonts w:ascii="Book Antiqua" w:hAnsi="Book Antiqua" w:cs="Times New Roman"/>
          <w:sz w:val="21"/>
          <w:szCs w:val="21"/>
        </w:rPr>
        <w:t xml:space="preserve">Education in Africa 2(2), 1-5. Special issue. Cost-sharing and other </w:t>
      </w:r>
      <w:r w:rsidR="001B1852" w:rsidRPr="00497201">
        <w:rPr>
          <w:rFonts w:ascii="Book Antiqua" w:hAnsi="Book Antiqua" w:cs="Times New Roman"/>
          <w:sz w:val="21"/>
          <w:szCs w:val="21"/>
        </w:rPr>
        <w:tab/>
      </w:r>
      <w:r w:rsidRPr="00497201">
        <w:rPr>
          <w:rFonts w:ascii="Book Antiqua" w:hAnsi="Book Antiqua" w:cs="Times New Roman"/>
          <w:sz w:val="21"/>
          <w:szCs w:val="21"/>
        </w:rPr>
        <w:t>forms of revenue supplementation in African higher education.</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Knight, J. (2005).</w:t>
      </w:r>
      <w:r w:rsidR="00646961" w:rsidRPr="00497201">
        <w:rPr>
          <w:rFonts w:ascii="Book Antiqua" w:hAnsi="Book Antiqua" w:cs="Times New Roman"/>
          <w:sz w:val="21"/>
          <w:szCs w:val="21"/>
        </w:rPr>
        <w:t xml:space="preserve"> </w:t>
      </w:r>
      <w:r w:rsidRPr="00497201">
        <w:rPr>
          <w:rFonts w:ascii="Book Antiqua" w:hAnsi="Book Antiqua" w:cs="Times New Roman"/>
          <w:sz w:val="21"/>
          <w:szCs w:val="21"/>
        </w:rPr>
        <w:t>An internationalization model.</w:t>
      </w:r>
      <w:r w:rsidR="00646961" w:rsidRPr="00497201">
        <w:rPr>
          <w:rFonts w:ascii="Book Antiqua" w:hAnsi="Book Antiqua" w:cs="Times New Roman"/>
          <w:sz w:val="21"/>
          <w:szCs w:val="21"/>
        </w:rPr>
        <w:t xml:space="preserve"> </w:t>
      </w:r>
      <w:r w:rsidRPr="00497201">
        <w:rPr>
          <w:rFonts w:ascii="Book Antiqua" w:hAnsi="Book Antiqua" w:cs="Times New Roman"/>
          <w:sz w:val="21"/>
          <w:szCs w:val="21"/>
        </w:rPr>
        <w:t xml:space="preserve">Responding to new </w:t>
      </w:r>
      <w:r w:rsidR="00646961" w:rsidRPr="00497201">
        <w:rPr>
          <w:rFonts w:ascii="Book Antiqua" w:hAnsi="Book Antiqua" w:cs="Times New Roman"/>
          <w:sz w:val="21"/>
          <w:szCs w:val="21"/>
        </w:rPr>
        <w:tab/>
      </w:r>
      <w:r w:rsidRPr="00497201">
        <w:rPr>
          <w:rFonts w:ascii="Book Antiqua" w:hAnsi="Book Antiqua" w:cs="Times New Roman"/>
          <w:sz w:val="21"/>
          <w:szCs w:val="21"/>
        </w:rPr>
        <w:t xml:space="preserve">realities and challenges. In H.de Wit, I.C. Jaramillo, J. Gacel-Avila &amp; </w:t>
      </w:r>
      <w:r w:rsidR="00646961" w:rsidRPr="00497201">
        <w:rPr>
          <w:rFonts w:ascii="Book Antiqua" w:hAnsi="Book Antiqua" w:cs="Times New Roman"/>
          <w:sz w:val="21"/>
          <w:szCs w:val="21"/>
        </w:rPr>
        <w:tab/>
      </w:r>
      <w:r w:rsidRPr="00497201">
        <w:rPr>
          <w:rFonts w:ascii="Book Antiqua" w:hAnsi="Book Antiqua" w:cs="Times New Roman"/>
          <w:sz w:val="21"/>
          <w:szCs w:val="21"/>
        </w:rPr>
        <w:t xml:space="preserve">J. Knight (Eds.), Higher education in Latin America. The </w:t>
      </w:r>
      <w:r w:rsidR="00646961" w:rsidRPr="00497201">
        <w:rPr>
          <w:rFonts w:ascii="Book Antiqua" w:hAnsi="Book Antiqua" w:cs="Times New Roman"/>
          <w:sz w:val="21"/>
          <w:szCs w:val="21"/>
        </w:rPr>
        <w:tab/>
      </w:r>
      <w:r w:rsidRPr="00497201">
        <w:rPr>
          <w:rFonts w:ascii="Book Antiqua" w:hAnsi="Book Antiqua" w:cs="Times New Roman"/>
          <w:sz w:val="21"/>
          <w:szCs w:val="21"/>
        </w:rPr>
        <w:t>international dimension (pp.1-38). Washington, DC: World Bank.</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Knight, J. (2006).</w:t>
      </w:r>
      <w:r w:rsidR="00B84020" w:rsidRPr="00497201">
        <w:rPr>
          <w:rFonts w:ascii="Book Antiqua" w:hAnsi="Book Antiqua" w:cs="Times New Roman"/>
          <w:sz w:val="21"/>
          <w:szCs w:val="21"/>
        </w:rPr>
        <w:t xml:space="preserve"> </w:t>
      </w:r>
      <w:r w:rsidRPr="00497201">
        <w:rPr>
          <w:rFonts w:ascii="Book Antiqua" w:hAnsi="Book Antiqua" w:cs="Times New Roman"/>
          <w:sz w:val="21"/>
          <w:szCs w:val="21"/>
        </w:rPr>
        <w:t xml:space="preserve">Internationalization of higher education. New directions, </w:t>
      </w:r>
      <w:r w:rsidR="0051289F" w:rsidRPr="00497201">
        <w:rPr>
          <w:rFonts w:ascii="Book Antiqua" w:hAnsi="Book Antiqua" w:cs="Times New Roman"/>
          <w:sz w:val="21"/>
          <w:szCs w:val="21"/>
        </w:rPr>
        <w:tab/>
      </w:r>
      <w:r w:rsidRPr="00497201">
        <w:rPr>
          <w:rFonts w:ascii="Book Antiqua" w:hAnsi="Book Antiqua" w:cs="Times New Roman"/>
          <w:sz w:val="21"/>
          <w:szCs w:val="21"/>
        </w:rPr>
        <w:t xml:space="preserve">new challenges. 2005 International Association of Universities </w:t>
      </w:r>
      <w:r w:rsidR="0051289F" w:rsidRPr="00497201">
        <w:rPr>
          <w:rFonts w:ascii="Book Antiqua" w:hAnsi="Book Antiqua" w:cs="Times New Roman"/>
          <w:sz w:val="21"/>
          <w:szCs w:val="21"/>
        </w:rPr>
        <w:tab/>
      </w:r>
      <w:r w:rsidRPr="00497201">
        <w:rPr>
          <w:rFonts w:ascii="Book Antiqua" w:hAnsi="Book Antiqua" w:cs="Times New Roman"/>
          <w:sz w:val="21"/>
          <w:szCs w:val="21"/>
        </w:rPr>
        <w:t xml:space="preserve">Global Survey Report. Paris: International Association of </w:t>
      </w:r>
      <w:r w:rsidR="0051289F" w:rsidRPr="00497201">
        <w:rPr>
          <w:rFonts w:ascii="Book Antiqua" w:hAnsi="Book Antiqua" w:cs="Times New Roman"/>
          <w:sz w:val="21"/>
          <w:szCs w:val="21"/>
        </w:rPr>
        <w:tab/>
      </w:r>
      <w:r w:rsidRPr="00497201">
        <w:rPr>
          <w:rFonts w:ascii="Book Antiqua" w:hAnsi="Book Antiqua" w:cs="Times New Roman"/>
          <w:sz w:val="21"/>
          <w:szCs w:val="21"/>
        </w:rPr>
        <w:t>Universities</w:t>
      </w:r>
      <w:r w:rsidR="0051289F" w:rsidRPr="00497201">
        <w:rPr>
          <w:rFonts w:ascii="Book Antiqua" w:hAnsi="Book Antiqua" w:cs="Times New Roman"/>
          <w:sz w:val="21"/>
          <w:szCs w:val="21"/>
        </w:rPr>
        <w:t>.</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Komiyama H.</w:t>
      </w:r>
      <w:r w:rsidR="00B84020" w:rsidRPr="00497201">
        <w:rPr>
          <w:rFonts w:ascii="Book Antiqua" w:hAnsi="Book Antiqua" w:cs="Times New Roman"/>
          <w:sz w:val="21"/>
          <w:szCs w:val="21"/>
        </w:rPr>
        <w:t xml:space="preserve"> </w:t>
      </w:r>
      <w:r w:rsidRPr="00497201">
        <w:rPr>
          <w:rFonts w:ascii="Book Antiqua" w:hAnsi="Book Antiqua" w:cs="Times New Roman"/>
          <w:sz w:val="21"/>
          <w:szCs w:val="21"/>
        </w:rPr>
        <w:t xml:space="preserve">and </w:t>
      </w:r>
      <w:r w:rsidR="00804462" w:rsidRPr="00497201">
        <w:rPr>
          <w:rFonts w:ascii="Book Antiqua" w:hAnsi="Book Antiqua" w:cs="Times New Roman"/>
          <w:sz w:val="21"/>
          <w:szCs w:val="21"/>
        </w:rPr>
        <w:t xml:space="preserve">K. </w:t>
      </w:r>
      <w:r w:rsidRPr="00497201">
        <w:rPr>
          <w:rFonts w:ascii="Book Antiqua" w:hAnsi="Book Antiqua" w:cs="Times New Roman"/>
          <w:sz w:val="21"/>
          <w:szCs w:val="21"/>
        </w:rPr>
        <w:t xml:space="preserve">Takeuchi (2006). “Sustainability science: building a </w:t>
      </w:r>
      <w:r w:rsidR="00360649" w:rsidRPr="00497201">
        <w:rPr>
          <w:rFonts w:ascii="Book Antiqua" w:hAnsi="Book Antiqua" w:cs="Times New Roman"/>
          <w:sz w:val="21"/>
          <w:szCs w:val="21"/>
        </w:rPr>
        <w:tab/>
      </w:r>
      <w:r w:rsidRPr="00497201">
        <w:rPr>
          <w:rFonts w:ascii="Book Antiqua" w:hAnsi="Book Antiqua" w:cs="Times New Roman"/>
          <w:sz w:val="21"/>
          <w:szCs w:val="21"/>
        </w:rPr>
        <w:t xml:space="preserve">new discipline” </w:t>
      </w:r>
      <w:r w:rsidRPr="00497201">
        <w:rPr>
          <w:rFonts w:ascii="Book Antiqua" w:hAnsi="Book Antiqua" w:cs="Times New Roman"/>
          <w:i/>
          <w:sz w:val="21"/>
          <w:szCs w:val="21"/>
        </w:rPr>
        <w:t>Sustainable Science</w:t>
      </w:r>
      <w:r w:rsidRPr="00497201">
        <w:rPr>
          <w:rFonts w:ascii="Book Antiqua" w:hAnsi="Book Antiqua" w:cs="Times New Roman"/>
          <w:sz w:val="21"/>
          <w:szCs w:val="21"/>
        </w:rPr>
        <w:t xml:space="preserve"> 1 DOI 10.1007/s11625-006-0007-</w:t>
      </w:r>
      <w:r w:rsidR="00360649" w:rsidRPr="00497201">
        <w:rPr>
          <w:rFonts w:ascii="Book Antiqua" w:hAnsi="Book Antiqua" w:cs="Times New Roman"/>
          <w:sz w:val="21"/>
          <w:szCs w:val="21"/>
        </w:rPr>
        <w:tab/>
      </w:r>
      <w:r w:rsidRPr="00497201">
        <w:rPr>
          <w:rFonts w:ascii="Book Antiqua" w:hAnsi="Book Antiqua" w:cs="Times New Roman"/>
          <w:sz w:val="21"/>
          <w:szCs w:val="21"/>
        </w:rPr>
        <w:t>4.</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 xml:space="preserve">Leslie, L.L. (1990). Rates of return as informer of public policy: With special </w:t>
      </w:r>
      <w:r w:rsidR="0088044F" w:rsidRPr="00497201">
        <w:rPr>
          <w:rFonts w:ascii="Book Antiqua" w:hAnsi="Book Antiqua" w:cs="Times New Roman"/>
          <w:sz w:val="21"/>
          <w:szCs w:val="21"/>
        </w:rPr>
        <w:tab/>
      </w:r>
      <w:r w:rsidRPr="00497201">
        <w:rPr>
          <w:rFonts w:ascii="Book Antiqua" w:hAnsi="Book Antiqua" w:cs="Times New Roman"/>
          <w:sz w:val="21"/>
          <w:szCs w:val="21"/>
        </w:rPr>
        <w:t xml:space="preserve">reference to the World Bank and third world countries, Higher </w:t>
      </w:r>
      <w:r w:rsidR="0088044F" w:rsidRPr="00497201">
        <w:rPr>
          <w:rFonts w:ascii="Book Antiqua" w:hAnsi="Book Antiqua" w:cs="Times New Roman"/>
          <w:sz w:val="21"/>
          <w:szCs w:val="21"/>
        </w:rPr>
        <w:tab/>
      </w:r>
      <w:r w:rsidRPr="00497201">
        <w:rPr>
          <w:rFonts w:ascii="Book Antiqua" w:hAnsi="Book Antiqua" w:cs="Times New Roman"/>
          <w:sz w:val="21"/>
          <w:szCs w:val="21"/>
        </w:rPr>
        <w:t>Education, 20, 271-286</w:t>
      </w:r>
      <w:r w:rsidR="0088044F" w:rsidRPr="00497201">
        <w:rPr>
          <w:rFonts w:ascii="Book Antiqua" w:hAnsi="Book Antiqua" w:cs="Times New Roman"/>
          <w:sz w:val="21"/>
          <w:szCs w:val="21"/>
        </w:rPr>
        <w:t>.</w:t>
      </w:r>
      <w:r w:rsidRPr="00497201">
        <w:rPr>
          <w:rFonts w:ascii="Book Antiqua" w:hAnsi="Book Antiqua" w:cs="Times New Roman"/>
          <w:sz w:val="21"/>
          <w:szCs w:val="21"/>
        </w:rPr>
        <w:t xml:space="preserve"> </w:t>
      </w:r>
    </w:p>
    <w:p w:rsidR="00CE5F5B" w:rsidRPr="00497201" w:rsidRDefault="004F3987"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Lulat, Y.G.M. (2003).</w:t>
      </w:r>
      <w:r w:rsidR="00CE5F5B" w:rsidRPr="00497201">
        <w:rPr>
          <w:rFonts w:ascii="Book Antiqua" w:hAnsi="Book Antiqua" w:cs="Times New Roman"/>
          <w:sz w:val="21"/>
          <w:szCs w:val="21"/>
        </w:rPr>
        <w:t xml:space="preserve"> The development of higher education in Africa: A </w:t>
      </w:r>
      <w:r w:rsidR="0088044F" w:rsidRPr="00497201">
        <w:rPr>
          <w:rFonts w:ascii="Book Antiqua" w:hAnsi="Book Antiqua" w:cs="Times New Roman"/>
          <w:sz w:val="21"/>
          <w:szCs w:val="21"/>
        </w:rPr>
        <w:tab/>
      </w:r>
      <w:r w:rsidR="00CE5F5B" w:rsidRPr="00497201">
        <w:rPr>
          <w:rFonts w:ascii="Book Antiqua" w:hAnsi="Book Antiqua" w:cs="Times New Roman"/>
          <w:sz w:val="21"/>
          <w:szCs w:val="21"/>
        </w:rPr>
        <w:t>historical survey. In D. Teferra</w:t>
      </w:r>
      <w:r w:rsidR="0088044F" w:rsidRPr="00497201">
        <w:rPr>
          <w:rFonts w:ascii="Book Antiqua" w:hAnsi="Book Antiqua" w:cs="Times New Roman"/>
          <w:sz w:val="21"/>
          <w:szCs w:val="21"/>
        </w:rPr>
        <w:t xml:space="preserve"> </w:t>
      </w:r>
      <w:r w:rsidR="00CE5F5B" w:rsidRPr="00497201">
        <w:rPr>
          <w:rFonts w:ascii="Book Antiqua" w:hAnsi="Book Antiqua" w:cs="Times New Roman"/>
          <w:sz w:val="21"/>
          <w:szCs w:val="21"/>
        </w:rPr>
        <w:t>&amp;</w:t>
      </w:r>
      <w:r w:rsidR="0088044F" w:rsidRPr="00497201">
        <w:rPr>
          <w:rFonts w:ascii="Book Antiqua" w:hAnsi="Book Antiqua" w:cs="Times New Roman"/>
          <w:sz w:val="21"/>
          <w:szCs w:val="21"/>
        </w:rPr>
        <w:t xml:space="preserve"> </w:t>
      </w:r>
      <w:r w:rsidR="00CE5F5B" w:rsidRPr="00497201">
        <w:rPr>
          <w:rFonts w:ascii="Book Antiqua" w:hAnsi="Book Antiqua" w:cs="Times New Roman"/>
          <w:sz w:val="21"/>
          <w:szCs w:val="21"/>
        </w:rPr>
        <w:t>P.G.</w:t>
      </w:r>
      <w:r w:rsidR="00062CB0"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Altbach (Eds.), African higher </w:t>
      </w:r>
      <w:r w:rsidR="0088044F" w:rsidRPr="00497201">
        <w:rPr>
          <w:rFonts w:ascii="Book Antiqua" w:hAnsi="Book Antiqua" w:cs="Times New Roman"/>
          <w:sz w:val="21"/>
          <w:szCs w:val="21"/>
        </w:rPr>
        <w:tab/>
      </w:r>
      <w:r w:rsidR="00CE5F5B" w:rsidRPr="00497201">
        <w:rPr>
          <w:rFonts w:ascii="Book Antiqua" w:hAnsi="Book Antiqua" w:cs="Times New Roman"/>
          <w:sz w:val="21"/>
          <w:szCs w:val="21"/>
        </w:rPr>
        <w:t xml:space="preserve">education: An international reference handbook (p 15-31). </w:t>
      </w:r>
      <w:r w:rsidR="0088044F" w:rsidRPr="00497201">
        <w:rPr>
          <w:rFonts w:ascii="Book Antiqua" w:hAnsi="Book Antiqua" w:cs="Times New Roman"/>
          <w:sz w:val="21"/>
          <w:szCs w:val="21"/>
        </w:rPr>
        <w:tab/>
      </w:r>
      <w:r w:rsidR="00CE5F5B" w:rsidRPr="00497201">
        <w:rPr>
          <w:rFonts w:ascii="Book Antiqua" w:hAnsi="Book Antiqua" w:cs="Times New Roman"/>
          <w:sz w:val="21"/>
          <w:szCs w:val="21"/>
        </w:rPr>
        <w:t>Bloomington: Indiana University Press</w:t>
      </w:r>
      <w:r w:rsidR="0088044F" w:rsidRPr="00497201">
        <w:rPr>
          <w:rFonts w:ascii="Book Antiqua" w:hAnsi="Book Antiqua" w:cs="Times New Roman"/>
          <w:sz w:val="21"/>
          <w:szCs w:val="21"/>
        </w:rPr>
        <w:t>.</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lastRenderedPageBreak/>
        <w:t>Marquardt, M</w:t>
      </w:r>
      <w:r w:rsidR="00636B7B" w:rsidRPr="00497201">
        <w:rPr>
          <w:rFonts w:ascii="Book Antiqua" w:hAnsi="Book Antiqua" w:cs="Times New Roman"/>
          <w:sz w:val="21"/>
          <w:szCs w:val="21"/>
        </w:rPr>
        <w:t>.</w:t>
      </w:r>
      <w:r w:rsidRPr="00497201">
        <w:rPr>
          <w:rFonts w:ascii="Book Antiqua" w:hAnsi="Book Antiqua" w:cs="Times New Roman"/>
          <w:sz w:val="21"/>
          <w:szCs w:val="21"/>
        </w:rPr>
        <w:t xml:space="preserve"> (1996).</w:t>
      </w:r>
      <w:r w:rsidR="00062CB0" w:rsidRPr="00497201">
        <w:rPr>
          <w:rFonts w:ascii="Book Antiqua" w:hAnsi="Book Antiqua" w:cs="Times New Roman"/>
          <w:sz w:val="21"/>
          <w:szCs w:val="21"/>
        </w:rPr>
        <w:t xml:space="preserve"> </w:t>
      </w:r>
      <w:r w:rsidRPr="00497201">
        <w:rPr>
          <w:rFonts w:ascii="Book Antiqua" w:hAnsi="Book Antiqua" w:cs="Times New Roman"/>
          <w:sz w:val="21"/>
          <w:szCs w:val="21"/>
        </w:rPr>
        <w:t xml:space="preserve">Building the learning organization. New York: </w:t>
      </w:r>
      <w:r w:rsidR="0088044F" w:rsidRPr="00497201">
        <w:rPr>
          <w:rFonts w:ascii="Book Antiqua" w:hAnsi="Book Antiqua" w:cs="Times New Roman"/>
          <w:sz w:val="21"/>
          <w:szCs w:val="21"/>
        </w:rPr>
        <w:tab/>
      </w:r>
      <w:r w:rsidRPr="00497201">
        <w:rPr>
          <w:rFonts w:ascii="Book Antiqua" w:hAnsi="Book Antiqua" w:cs="Times New Roman"/>
          <w:sz w:val="21"/>
          <w:szCs w:val="21"/>
        </w:rPr>
        <w:t>McGraw-Hill</w:t>
      </w:r>
      <w:r w:rsidR="0088044F" w:rsidRPr="00497201">
        <w:rPr>
          <w:rFonts w:ascii="Book Antiqua" w:hAnsi="Book Antiqua" w:cs="Times New Roman"/>
          <w:sz w:val="21"/>
          <w:szCs w:val="21"/>
        </w:rPr>
        <w:t>.</w:t>
      </w:r>
    </w:p>
    <w:p w:rsidR="00CE5F5B" w:rsidRPr="00497201" w:rsidRDefault="0088044F"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Stiglitz, J.</w:t>
      </w:r>
      <w:r w:rsidR="00CE5F5B" w:rsidRPr="00497201">
        <w:rPr>
          <w:rFonts w:ascii="Book Antiqua" w:hAnsi="Book Antiqua" w:cs="Times New Roman"/>
          <w:sz w:val="21"/>
          <w:szCs w:val="21"/>
        </w:rPr>
        <w:t>E. (2006). Making globalization work. New York: W.W. Norton</w:t>
      </w:r>
      <w:r w:rsidRPr="00497201">
        <w:rPr>
          <w:rFonts w:ascii="Book Antiqua" w:hAnsi="Book Antiqua" w:cs="Times New Roman"/>
          <w:sz w:val="21"/>
          <w:szCs w:val="21"/>
        </w:rPr>
        <w:t>.</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Teferra, D. (2005).</w:t>
      </w:r>
      <w:r w:rsidR="0088044F" w:rsidRPr="00497201">
        <w:rPr>
          <w:rFonts w:ascii="Book Antiqua" w:hAnsi="Book Antiqua" w:cs="Times New Roman"/>
          <w:sz w:val="21"/>
          <w:szCs w:val="21"/>
        </w:rPr>
        <w:t xml:space="preserve"> </w:t>
      </w:r>
      <w:r w:rsidRPr="00497201">
        <w:rPr>
          <w:rFonts w:ascii="Book Antiqua" w:hAnsi="Book Antiqua" w:cs="Times New Roman"/>
          <w:sz w:val="21"/>
          <w:szCs w:val="21"/>
        </w:rPr>
        <w:t xml:space="preserve">Financing higher education in Sub-Saharan Africa. In </w:t>
      </w:r>
      <w:r w:rsidR="0088044F" w:rsidRPr="00497201">
        <w:rPr>
          <w:rFonts w:ascii="Book Antiqua" w:hAnsi="Book Antiqua" w:cs="Times New Roman"/>
          <w:sz w:val="21"/>
          <w:szCs w:val="21"/>
        </w:rPr>
        <w:tab/>
      </w:r>
      <w:r w:rsidRPr="00497201">
        <w:rPr>
          <w:rFonts w:ascii="Book Antiqua" w:hAnsi="Book Antiqua" w:cs="Times New Roman"/>
          <w:sz w:val="21"/>
          <w:szCs w:val="21"/>
        </w:rPr>
        <w:t xml:space="preserve">Higher education in the world 2006: The financing of universities (p </w:t>
      </w:r>
      <w:r w:rsidR="0088044F" w:rsidRPr="00497201">
        <w:rPr>
          <w:rFonts w:ascii="Book Antiqua" w:hAnsi="Book Antiqua" w:cs="Times New Roman"/>
          <w:sz w:val="21"/>
          <w:szCs w:val="21"/>
        </w:rPr>
        <w:tab/>
      </w:r>
      <w:r w:rsidRPr="00497201">
        <w:rPr>
          <w:rFonts w:ascii="Book Antiqua" w:hAnsi="Book Antiqua" w:cs="Times New Roman"/>
          <w:sz w:val="21"/>
          <w:szCs w:val="21"/>
        </w:rPr>
        <w:t xml:space="preserve">153-164). New York: Global Network for Innovation (GUNI) and </w:t>
      </w:r>
      <w:r w:rsidR="0088044F" w:rsidRPr="00497201">
        <w:rPr>
          <w:rFonts w:ascii="Book Antiqua" w:hAnsi="Book Antiqua" w:cs="Times New Roman"/>
          <w:sz w:val="21"/>
          <w:szCs w:val="21"/>
        </w:rPr>
        <w:tab/>
      </w:r>
      <w:r w:rsidRPr="00497201">
        <w:rPr>
          <w:rFonts w:ascii="Book Antiqua" w:hAnsi="Book Antiqua" w:cs="Times New Roman"/>
          <w:sz w:val="21"/>
          <w:szCs w:val="21"/>
        </w:rPr>
        <w:t>Palgrave Macmillan.</w:t>
      </w:r>
    </w:p>
    <w:p w:rsidR="00CE5F5B" w:rsidRPr="00497201" w:rsidRDefault="00CE5F5B" w:rsidP="00865558">
      <w:pPr>
        <w:spacing w:after="0" w:line="240" w:lineRule="auto"/>
        <w:jc w:val="both"/>
        <w:rPr>
          <w:rFonts w:ascii="Book Antiqua" w:hAnsi="Book Antiqua" w:cs="Times New Roman"/>
          <w:sz w:val="21"/>
          <w:szCs w:val="21"/>
          <w:lang w:val="en-US"/>
        </w:rPr>
      </w:pPr>
      <w:r w:rsidRPr="00497201">
        <w:rPr>
          <w:rFonts w:ascii="Book Antiqua" w:eastAsia="Times New Roman" w:hAnsi="Book Antiqua" w:cs="Times New Roman"/>
          <w:sz w:val="21"/>
          <w:szCs w:val="21"/>
          <w:lang w:val="en-US"/>
        </w:rPr>
        <w:t>Teferra, D. &amp;</w:t>
      </w:r>
      <w:r w:rsidR="0088044F" w:rsidRPr="00497201">
        <w:rPr>
          <w:rFonts w:ascii="Book Antiqua" w:eastAsia="Times New Roman" w:hAnsi="Book Antiqua" w:cs="Times New Roman"/>
          <w:sz w:val="21"/>
          <w:szCs w:val="21"/>
          <w:lang w:val="en-US"/>
        </w:rPr>
        <w:t xml:space="preserve"> P. </w:t>
      </w:r>
      <w:r w:rsidRPr="00497201">
        <w:rPr>
          <w:rFonts w:ascii="Book Antiqua" w:eastAsia="Times New Roman" w:hAnsi="Book Antiqua" w:cs="Times New Roman"/>
          <w:sz w:val="21"/>
          <w:szCs w:val="21"/>
          <w:lang w:val="en-US"/>
        </w:rPr>
        <w:t>Altbach (2003)</w:t>
      </w:r>
      <w:r w:rsidRPr="00497201">
        <w:rPr>
          <w:rFonts w:ascii="Book Antiqua" w:hAnsi="Book Antiqua" w:cs="Times New Roman"/>
          <w:sz w:val="21"/>
          <w:szCs w:val="21"/>
          <w:lang w:val="en-US"/>
        </w:rPr>
        <w:t>.</w:t>
      </w:r>
      <w:r w:rsidR="0088044F" w:rsidRPr="00497201">
        <w:rPr>
          <w:rFonts w:ascii="Book Antiqua" w:hAnsi="Book Antiqua" w:cs="Times New Roman"/>
          <w:sz w:val="21"/>
          <w:szCs w:val="21"/>
          <w:lang w:val="en-US"/>
        </w:rPr>
        <w:t xml:space="preserve"> </w:t>
      </w:r>
      <w:r w:rsidRPr="00497201">
        <w:rPr>
          <w:rFonts w:ascii="Book Antiqua" w:eastAsia="Times New Roman" w:hAnsi="Book Antiqua" w:cs="Times New Roman"/>
          <w:sz w:val="21"/>
          <w:szCs w:val="21"/>
          <w:lang w:val="en-US"/>
        </w:rPr>
        <w:t xml:space="preserve">Trends and Perspectives in African Higher </w:t>
      </w:r>
      <w:r w:rsidR="0088044F" w:rsidRPr="00497201">
        <w:rPr>
          <w:rFonts w:ascii="Book Antiqua" w:eastAsia="Times New Roman" w:hAnsi="Book Antiqua" w:cs="Times New Roman"/>
          <w:sz w:val="21"/>
          <w:szCs w:val="21"/>
          <w:lang w:val="en-US"/>
        </w:rPr>
        <w:tab/>
      </w:r>
      <w:r w:rsidRPr="00497201">
        <w:rPr>
          <w:rFonts w:ascii="Book Antiqua" w:eastAsia="Times New Roman" w:hAnsi="Book Antiqua" w:cs="Times New Roman"/>
          <w:sz w:val="21"/>
          <w:szCs w:val="21"/>
          <w:lang w:val="en-US"/>
        </w:rPr>
        <w:t>Education.</w:t>
      </w:r>
      <w:r w:rsidR="0088044F" w:rsidRPr="00497201">
        <w:rPr>
          <w:rFonts w:ascii="Book Antiqua" w:eastAsia="Times New Roman" w:hAnsi="Book Antiqua" w:cs="Times New Roman"/>
          <w:sz w:val="21"/>
          <w:szCs w:val="21"/>
          <w:lang w:val="en-US"/>
        </w:rPr>
        <w:t xml:space="preserve"> </w:t>
      </w:r>
      <w:r w:rsidRPr="00497201">
        <w:rPr>
          <w:rFonts w:ascii="Book Antiqua" w:eastAsia="Times New Roman" w:hAnsi="Book Antiqua" w:cs="Times New Roman"/>
          <w:sz w:val="21"/>
          <w:szCs w:val="21"/>
          <w:lang w:val="en-US"/>
        </w:rPr>
        <w:t>In Teferra, D. &amp;</w:t>
      </w:r>
      <w:r w:rsidR="0088044F" w:rsidRPr="00497201">
        <w:rPr>
          <w:rFonts w:ascii="Book Antiqua" w:eastAsia="Times New Roman" w:hAnsi="Book Antiqua" w:cs="Times New Roman"/>
          <w:sz w:val="21"/>
          <w:szCs w:val="21"/>
          <w:lang w:val="en-US"/>
        </w:rPr>
        <w:t xml:space="preserve"> </w:t>
      </w:r>
      <w:r w:rsidRPr="00497201">
        <w:rPr>
          <w:rFonts w:ascii="Book Antiqua" w:eastAsia="Times New Roman" w:hAnsi="Book Antiqua" w:cs="Times New Roman"/>
          <w:sz w:val="21"/>
          <w:szCs w:val="21"/>
          <w:lang w:val="en-US"/>
        </w:rPr>
        <w:t xml:space="preserve">Altbach, P. G. (Eds.). African Higher </w:t>
      </w:r>
      <w:r w:rsidR="0088044F" w:rsidRPr="00497201">
        <w:rPr>
          <w:rFonts w:ascii="Book Antiqua" w:eastAsia="Times New Roman" w:hAnsi="Book Antiqua" w:cs="Times New Roman"/>
          <w:sz w:val="21"/>
          <w:szCs w:val="21"/>
          <w:lang w:val="en-US"/>
        </w:rPr>
        <w:tab/>
      </w:r>
      <w:r w:rsidRPr="00497201">
        <w:rPr>
          <w:rFonts w:ascii="Book Antiqua" w:eastAsia="Times New Roman" w:hAnsi="Book Antiqua" w:cs="Times New Roman"/>
          <w:sz w:val="21"/>
          <w:szCs w:val="21"/>
          <w:lang w:val="en-US"/>
        </w:rPr>
        <w:t xml:space="preserve">Education: An International Reference Handbook. Bloomington, </w:t>
      </w:r>
      <w:r w:rsidR="0088044F" w:rsidRPr="00497201">
        <w:rPr>
          <w:rFonts w:ascii="Book Antiqua" w:eastAsia="Times New Roman" w:hAnsi="Book Antiqua" w:cs="Times New Roman"/>
          <w:sz w:val="21"/>
          <w:szCs w:val="21"/>
          <w:lang w:val="en-US"/>
        </w:rPr>
        <w:tab/>
      </w:r>
      <w:r w:rsidRPr="00497201">
        <w:rPr>
          <w:rFonts w:ascii="Book Antiqua" w:eastAsia="Times New Roman" w:hAnsi="Book Antiqua" w:cs="Times New Roman"/>
          <w:sz w:val="21"/>
          <w:szCs w:val="21"/>
          <w:lang w:val="en-US"/>
        </w:rPr>
        <w:t>Indiana: Indiana University Press. 3–14.</w:t>
      </w:r>
    </w:p>
    <w:p w:rsidR="00CE5F5B" w:rsidRPr="00497201" w:rsidRDefault="00CE5F5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THES-GS.</w:t>
      </w:r>
      <w:r w:rsidR="0088044F" w:rsidRPr="00497201">
        <w:rPr>
          <w:rFonts w:ascii="Book Antiqua" w:hAnsi="Book Antiqua" w:cs="Times New Roman"/>
          <w:sz w:val="21"/>
          <w:szCs w:val="21"/>
        </w:rPr>
        <w:t xml:space="preserve"> </w:t>
      </w:r>
      <w:r w:rsidRPr="00497201">
        <w:rPr>
          <w:rFonts w:ascii="Book Antiqua" w:hAnsi="Book Antiqua" w:cs="Times New Roman"/>
          <w:sz w:val="21"/>
          <w:szCs w:val="21"/>
        </w:rPr>
        <w:t xml:space="preserve">Time Higher Education Supplement and Quacquarelli </w:t>
      </w:r>
      <w:r w:rsidR="0088044F" w:rsidRPr="00497201">
        <w:rPr>
          <w:rFonts w:ascii="Book Antiqua" w:hAnsi="Book Antiqua" w:cs="Times New Roman"/>
          <w:sz w:val="21"/>
          <w:szCs w:val="21"/>
        </w:rPr>
        <w:tab/>
      </w:r>
      <w:r w:rsidRPr="00497201">
        <w:rPr>
          <w:rFonts w:ascii="Book Antiqua" w:hAnsi="Book Antiqua" w:cs="Times New Roman"/>
          <w:sz w:val="21"/>
          <w:szCs w:val="21"/>
        </w:rPr>
        <w:t>Symonds.</w:t>
      </w:r>
      <w:r w:rsidR="002460A7" w:rsidRPr="00497201">
        <w:rPr>
          <w:rFonts w:ascii="Book Antiqua" w:hAnsi="Book Antiqua" w:cs="Times New Roman"/>
          <w:sz w:val="21"/>
          <w:szCs w:val="21"/>
        </w:rPr>
        <w:t xml:space="preserve"> </w:t>
      </w:r>
      <w:r w:rsidRPr="00497201">
        <w:rPr>
          <w:rFonts w:ascii="Book Antiqua" w:hAnsi="Book Antiqua" w:cs="Times New Roman"/>
          <w:sz w:val="21"/>
          <w:szCs w:val="21"/>
        </w:rPr>
        <w:t>(2008). World University Rankings 2007.</w:t>
      </w:r>
    </w:p>
    <w:p w:rsidR="00CE5F5B" w:rsidRPr="00497201" w:rsidRDefault="00CE5F5B" w:rsidP="00865558">
      <w:pPr>
        <w:pStyle w:val="Default"/>
        <w:jc w:val="both"/>
        <w:rPr>
          <w:rFonts w:ascii="Book Antiqua" w:hAnsi="Book Antiqua"/>
          <w:color w:val="auto"/>
          <w:sz w:val="21"/>
          <w:szCs w:val="21"/>
        </w:rPr>
      </w:pPr>
      <w:r w:rsidRPr="00497201">
        <w:rPr>
          <w:rFonts w:ascii="Book Antiqua" w:hAnsi="Book Antiqua"/>
          <w:color w:val="auto"/>
          <w:sz w:val="21"/>
          <w:szCs w:val="21"/>
        </w:rPr>
        <w:t>UNESCO (2004).</w:t>
      </w:r>
      <w:r w:rsidR="002460A7" w:rsidRPr="00497201">
        <w:rPr>
          <w:rFonts w:ascii="Book Antiqua" w:hAnsi="Book Antiqua"/>
          <w:color w:val="auto"/>
          <w:sz w:val="21"/>
          <w:szCs w:val="21"/>
        </w:rPr>
        <w:t xml:space="preserve"> </w:t>
      </w:r>
      <w:r w:rsidRPr="00497201">
        <w:rPr>
          <w:rFonts w:ascii="Book Antiqua" w:hAnsi="Book Antiqua"/>
          <w:color w:val="auto"/>
          <w:sz w:val="21"/>
          <w:szCs w:val="21"/>
        </w:rPr>
        <w:t xml:space="preserve">Report by the director-general on the modalities of </w:t>
      </w:r>
      <w:r w:rsidR="002460A7" w:rsidRPr="00497201">
        <w:rPr>
          <w:rFonts w:ascii="Book Antiqua" w:hAnsi="Book Antiqua"/>
          <w:color w:val="auto"/>
          <w:sz w:val="21"/>
          <w:szCs w:val="21"/>
        </w:rPr>
        <w:tab/>
      </w:r>
      <w:r w:rsidRPr="00497201">
        <w:rPr>
          <w:rFonts w:ascii="Book Antiqua" w:hAnsi="Book Antiqua"/>
          <w:color w:val="auto"/>
          <w:sz w:val="21"/>
          <w:szCs w:val="21"/>
        </w:rPr>
        <w:t xml:space="preserve">implementing South-South Cooperation and solidarity in the field </w:t>
      </w:r>
      <w:r w:rsidR="002460A7" w:rsidRPr="00497201">
        <w:rPr>
          <w:rFonts w:ascii="Book Antiqua" w:hAnsi="Book Antiqua"/>
          <w:color w:val="auto"/>
          <w:sz w:val="21"/>
          <w:szCs w:val="21"/>
        </w:rPr>
        <w:tab/>
      </w:r>
      <w:r w:rsidRPr="00497201">
        <w:rPr>
          <w:rFonts w:ascii="Book Antiqua" w:hAnsi="Book Antiqua"/>
          <w:color w:val="auto"/>
          <w:sz w:val="21"/>
          <w:szCs w:val="21"/>
        </w:rPr>
        <w:t xml:space="preserve">of education and on the feasibility study for the creation of a fund </w:t>
      </w:r>
      <w:r w:rsidR="002460A7" w:rsidRPr="00497201">
        <w:rPr>
          <w:rFonts w:ascii="Book Antiqua" w:hAnsi="Book Antiqua"/>
          <w:color w:val="auto"/>
          <w:sz w:val="21"/>
          <w:szCs w:val="21"/>
        </w:rPr>
        <w:tab/>
      </w:r>
      <w:r w:rsidRPr="00497201">
        <w:rPr>
          <w:rFonts w:ascii="Book Antiqua" w:hAnsi="Book Antiqua"/>
          <w:color w:val="auto"/>
          <w:sz w:val="21"/>
          <w:szCs w:val="21"/>
        </w:rPr>
        <w:t>thereon.</w:t>
      </w:r>
      <w:r w:rsidR="00F22539" w:rsidRPr="00497201">
        <w:rPr>
          <w:rFonts w:ascii="Book Antiqua" w:hAnsi="Book Antiqua"/>
          <w:color w:val="auto"/>
          <w:sz w:val="21"/>
          <w:szCs w:val="21"/>
        </w:rPr>
        <w:t xml:space="preserve"> </w:t>
      </w:r>
      <w:hyperlink r:id="rId14" w:history="1">
        <w:r w:rsidR="00ED3F1E" w:rsidRPr="00497201">
          <w:rPr>
            <w:rStyle w:val="Hyperlink"/>
            <w:rFonts w:ascii="Book Antiqua" w:hAnsi="Book Antiqua"/>
            <w:color w:val="auto"/>
            <w:sz w:val="21"/>
            <w:szCs w:val="21"/>
          </w:rPr>
          <w:t>http://unesdoc.unesco.org/images/0013/001356/135648</w:t>
        </w:r>
      </w:hyperlink>
      <w:r w:rsidR="00ED3F1E" w:rsidRPr="00497201">
        <w:rPr>
          <w:rFonts w:ascii="Book Antiqua" w:hAnsi="Book Antiqua"/>
          <w:color w:val="auto"/>
          <w:sz w:val="21"/>
          <w:szCs w:val="21"/>
        </w:rPr>
        <w:t xml:space="preserve"> </w:t>
      </w:r>
      <w:r w:rsidR="00ED3F1E" w:rsidRPr="00497201">
        <w:rPr>
          <w:rFonts w:ascii="Book Antiqua" w:hAnsi="Book Antiqua"/>
          <w:color w:val="auto"/>
          <w:sz w:val="21"/>
          <w:szCs w:val="21"/>
        </w:rPr>
        <w:tab/>
      </w:r>
      <w:r w:rsidRPr="00497201">
        <w:rPr>
          <w:rFonts w:ascii="Book Antiqua" w:hAnsi="Book Antiqua"/>
          <w:color w:val="auto"/>
          <w:sz w:val="21"/>
          <w:szCs w:val="21"/>
        </w:rPr>
        <w:t>e.pdf</w:t>
      </w:r>
      <w:r w:rsidR="005B694E" w:rsidRPr="00497201">
        <w:rPr>
          <w:rFonts w:ascii="Book Antiqua" w:hAnsi="Book Antiqua"/>
          <w:color w:val="auto"/>
          <w:sz w:val="21"/>
          <w:szCs w:val="21"/>
        </w:rPr>
        <w:t>.</w:t>
      </w:r>
      <w:r w:rsidRPr="00497201">
        <w:rPr>
          <w:rFonts w:ascii="Book Antiqua" w:hAnsi="Book Antiqua"/>
          <w:color w:val="auto"/>
          <w:sz w:val="21"/>
          <w:szCs w:val="21"/>
        </w:rPr>
        <w:t xml:space="preserve">  </w:t>
      </w:r>
    </w:p>
    <w:p w:rsidR="00CE5F5B" w:rsidRPr="00497201" w:rsidRDefault="00CE5F5B" w:rsidP="00865558">
      <w:pPr>
        <w:spacing w:after="0" w:line="240" w:lineRule="auto"/>
        <w:jc w:val="both"/>
        <w:rPr>
          <w:rFonts w:ascii="Book Antiqua" w:eastAsia="Times New Roman" w:hAnsi="Book Antiqua" w:cs="Times New Roman"/>
          <w:sz w:val="21"/>
          <w:szCs w:val="21"/>
          <w:lang w:val="en-US" w:eastAsia="en-US"/>
        </w:rPr>
      </w:pPr>
      <w:r w:rsidRPr="00497201">
        <w:rPr>
          <w:rFonts w:ascii="Book Antiqua" w:eastAsia="Times New Roman" w:hAnsi="Book Antiqua" w:cs="Times New Roman"/>
          <w:sz w:val="21"/>
          <w:szCs w:val="21"/>
          <w:lang w:val="en-US" w:eastAsia="en-US"/>
        </w:rPr>
        <w:t>UNDP (2003)</w:t>
      </w:r>
      <w:r w:rsidRPr="00497201">
        <w:rPr>
          <w:rFonts w:ascii="Book Antiqua" w:hAnsi="Book Antiqua" w:cs="Times New Roman"/>
          <w:sz w:val="21"/>
          <w:szCs w:val="21"/>
          <w:lang w:val="en-US"/>
        </w:rPr>
        <w:t>.</w:t>
      </w:r>
      <w:r w:rsidRPr="00497201">
        <w:rPr>
          <w:rFonts w:ascii="Book Antiqua" w:eastAsia="Times New Roman" w:hAnsi="Book Antiqua" w:cs="Times New Roman"/>
          <w:sz w:val="21"/>
          <w:szCs w:val="21"/>
          <w:lang w:val="en-US" w:eastAsia="en-US"/>
        </w:rPr>
        <w:t xml:space="preserve"> Report on the implementation of the second cooperation </w:t>
      </w:r>
      <w:r w:rsidR="005B694E" w:rsidRPr="00497201">
        <w:rPr>
          <w:rFonts w:ascii="Book Antiqua" w:eastAsia="Times New Roman" w:hAnsi="Book Antiqua" w:cs="Times New Roman"/>
          <w:sz w:val="21"/>
          <w:szCs w:val="21"/>
          <w:lang w:val="en-US" w:eastAsia="en-US"/>
        </w:rPr>
        <w:tab/>
      </w:r>
      <w:r w:rsidRPr="00497201">
        <w:rPr>
          <w:rFonts w:ascii="Book Antiqua" w:eastAsia="Times New Roman" w:hAnsi="Book Antiqua" w:cs="Times New Roman"/>
          <w:sz w:val="21"/>
          <w:szCs w:val="21"/>
          <w:lang w:val="en-US" w:eastAsia="en-US"/>
        </w:rPr>
        <w:t xml:space="preserve">framework for technical cooperation among developing countries, </w:t>
      </w:r>
      <w:r w:rsidR="005B694E" w:rsidRPr="00497201">
        <w:rPr>
          <w:rFonts w:ascii="Book Antiqua" w:eastAsia="Times New Roman" w:hAnsi="Book Antiqua" w:cs="Times New Roman"/>
          <w:sz w:val="21"/>
          <w:szCs w:val="21"/>
          <w:lang w:val="en-US" w:eastAsia="en-US"/>
        </w:rPr>
        <w:tab/>
      </w:r>
      <w:r w:rsidRPr="00497201">
        <w:rPr>
          <w:rFonts w:ascii="Book Antiqua" w:eastAsia="Times New Roman" w:hAnsi="Book Antiqua" w:cs="Times New Roman"/>
          <w:sz w:val="21"/>
          <w:szCs w:val="21"/>
          <w:lang w:val="en-US" w:eastAsia="en-US"/>
        </w:rPr>
        <w:t>Annual session 2003. UNDP</w:t>
      </w:r>
      <w:r w:rsidR="005B694E" w:rsidRPr="00497201">
        <w:rPr>
          <w:rFonts w:ascii="Book Antiqua" w:eastAsia="Times New Roman" w:hAnsi="Book Antiqua" w:cs="Times New Roman"/>
          <w:sz w:val="21"/>
          <w:szCs w:val="21"/>
          <w:lang w:val="en-US" w:eastAsia="en-US"/>
        </w:rPr>
        <w:t>.</w:t>
      </w:r>
    </w:p>
    <w:p w:rsidR="00CE5F5B" w:rsidRPr="00497201" w:rsidRDefault="00AE79FF" w:rsidP="00865558">
      <w:pPr>
        <w:autoSpaceDE w:val="0"/>
        <w:autoSpaceDN w:val="0"/>
        <w:adjustRightInd w:val="0"/>
        <w:spacing w:after="0" w:line="240" w:lineRule="auto"/>
        <w:jc w:val="both"/>
        <w:rPr>
          <w:rFonts w:ascii="Book Antiqua" w:hAnsi="Book Antiqua" w:cs="Times New Roman"/>
          <w:sz w:val="21"/>
          <w:szCs w:val="21"/>
          <w:lang w:val="en-US"/>
        </w:rPr>
      </w:pPr>
      <w:r w:rsidRPr="00497201">
        <w:rPr>
          <w:rFonts w:ascii="Book Antiqua" w:hAnsi="Book Antiqua" w:cs="Times New Roman"/>
          <w:sz w:val="21"/>
          <w:szCs w:val="21"/>
          <w:lang w:val="en-US"/>
        </w:rPr>
        <w:t>Van</w:t>
      </w:r>
      <w:r w:rsidR="00CE5F5B" w:rsidRPr="00497201">
        <w:rPr>
          <w:rFonts w:ascii="Book Antiqua" w:hAnsi="Book Antiqua" w:cs="Times New Roman"/>
          <w:sz w:val="21"/>
          <w:szCs w:val="21"/>
          <w:lang w:val="en-US"/>
        </w:rPr>
        <w:t xml:space="preserve"> Dam-Mieras, R., </w:t>
      </w:r>
      <w:r w:rsidR="00EC6B89" w:rsidRPr="00497201">
        <w:rPr>
          <w:rFonts w:ascii="Book Antiqua" w:hAnsi="Book Antiqua" w:cs="Times New Roman"/>
          <w:sz w:val="21"/>
          <w:szCs w:val="21"/>
          <w:lang w:val="en-US"/>
        </w:rPr>
        <w:t>A. Lansu, M. Rieckmann</w:t>
      </w:r>
      <w:r w:rsidR="00CE5F5B" w:rsidRPr="00497201">
        <w:rPr>
          <w:rFonts w:ascii="Book Antiqua" w:hAnsi="Book Antiqua" w:cs="Times New Roman"/>
          <w:sz w:val="21"/>
          <w:szCs w:val="21"/>
          <w:lang w:val="en-US"/>
        </w:rPr>
        <w:t xml:space="preserve"> &amp;</w:t>
      </w:r>
      <w:r w:rsidR="00EC6B89" w:rsidRPr="00497201">
        <w:rPr>
          <w:rFonts w:ascii="Book Antiqua" w:hAnsi="Book Antiqua" w:cs="Times New Roman"/>
          <w:sz w:val="21"/>
          <w:szCs w:val="21"/>
          <w:lang w:val="en-US"/>
        </w:rPr>
        <w:t xml:space="preserve"> G. Michelsen</w:t>
      </w:r>
      <w:r w:rsidR="00CE5F5B" w:rsidRPr="00497201">
        <w:rPr>
          <w:rFonts w:ascii="Book Antiqua" w:hAnsi="Book Antiqua" w:cs="Times New Roman"/>
          <w:sz w:val="21"/>
          <w:szCs w:val="21"/>
          <w:lang w:val="en-US"/>
        </w:rPr>
        <w:t xml:space="preserve"> (2008). </w:t>
      </w:r>
      <w:r w:rsidRPr="00497201">
        <w:rPr>
          <w:rFonts w:ascii="Book Antiqua" w:hAnsi="Book Antiqua" w:cs="Times New Roman"/>
          <w:sz w:val="21"/>
          <w:szCs w:val="21"/>
          <w:lang w:val="en-US"/>
        </w:rPr>
        <w:tab/>
      </w:r>
      <w:r w:rsidR="00CE5F5B" w:rsidRPr="00497201">
        <w:rPr>
          <w:rFonts w:ascii="Book Antiqua" w:hAnsi="Book Antiqua" w:cs="Times New Roman"/>
          <w:sz w:val="21"/>
          <w:szCs w:val="21"/>
          <w:lang w:val="en-US"/>
        </w:rPr>
        <w:t xml:space="preserve">Development of an Interdisciplinary, Intercultural Master’s </w:t>
      </w:r>
      <w:r w:rsidRPr="00497201">
        <w:rPr>
          <w:rFonts w:ascii="Book Antiqua" w:hAnsi="Book Antiqua" w:cs="Times New Roman"/>
          <w:sz w:val="21"/>
          <w:szCs w:val="21"/>
          <w:lang w:val="en-US"/>
        </w:rPr>
        <w:tab/>
      </w:r>
      <w:r w:rsidR="00CE5F5B" w:rsidRPr="00497201">
        <w:rPr>
          <w:rFonts w:ascii="Book Antiqua" w:hAnsi="Book Antiqua" w:cs="Times New Roman"/>
          <w:sz w:val="21"/>
          <w:szCs w:val="21"/>
          <w:lang w:val="en-US"/>
        </w:rPr>
        <w:t xml:space="preserve">Program on Sustainability: Learning from the Richness of Diversity. </w:t>
      </w:r>
      <w:r w:rsidRPr="00497201">
        <w:rPr>
          <w:rFonts w:ascii="Book Antiqua" w:hAnsi="Book Antiqua" w:cs="Times New Roman"/>
          <w:sz w:val="21"/>
          <w:szCs w:val="21"/>
          <w:lang w:val="en-US"/>
        </w:rPr>
        <w:tab/>
      </w:r>
      <w:r w:rsidR="00CE5F5B" w:rsidRPr="00497201">
        <w:rPr>
          <w:rFonts w:ascii="Book Antiqua" w:hAnsi="Book Antiqua" w:cs="Times New Roman"/>
          <w:sz w:val="21"/>
          <w:szCs w:val="21"/>
          <w:lang w:val="en-US"/>
        </w:rPr>
        <w:t>Innovative Higher Education, 32(5), 251-264.</w:t>
      </w:r>
    </w:p>
    <w:p w:rsidR="00CE5F5B" w:rsidRPr="00497201" w:rsidRDefault="0022090B" w:rsidP="00865558">
      <w:pPr>
        <w:spacing w:after="0" w:line="240" w:lineRule="auto"/>
        <w:jc w:val="both"/>
        <w:rPr>
          <w:rFonts w:ascii="Book Antiqua" w:hAnsi="Book Antiqua" w:cs="Times New Roman"/>
          <w:sz w:val="21"/>
          <w:szCs w:val="21"/>
        </w:rPr>
      </w:pPr>
      <w:r w:rsidRPr="00497201">
        <w:rPr>
          <w:rFonts w:ascii="Book Antiqua" w:hAnsi="Book Antiqua" w:cs="Times New Roman"/>
          <w:sz w:val="21"/>
          <w:szCs w:val="21"/>
        </w:rPr>
        <w:t>Wals A.</w:t>
      </w:r>
      <w:r w:rsidR="00CE5F5B" w:rsidRPr="00497201">
        <w:rPr>
          <w:rFonts w:ascii="Book Antiqua" w:hAnsi="Book Antiqua" w:cs="Times New Roman"/>
          <w:sz w:val="21"/>
          <w:szCs w:val="21"/>
        </w:rPr>
        <w:t xml:space="preserve">E.J. and </w:t>
      </w:r>
      <w:r w:rsidRPr="00497201">
        <w:rPr>
          <w:rFonts w:ascii="Book Antiqua" w:hAnsi="Book Antiqua" w:cs="Times New Roman"/>
          <w:sz w:val="21"/>
          <w:szCs w:val="21"/>
        </w:rPr>
        <w:t xml:space="preserve">B. </w:t>
      </w:r>
      <w:r w:rsidR="00CE5F5B" w:rsidRPr="00497201">
        <w:rPr>
          <w:rFonts w:ascii="Book Antiqua" w:hAnsi="Book Antiqua" w:cs="Times New Roman"/>
          <w:sz w:val="21"/>
          <w:szCs w:val="21"/>
        </w:rPr>
        <w:t>Jickling (2002).</w:t>
      </w:r>
      <w:r w:rsidR="009A1589" w:rsidRPr="00497201">
        <w:rPr>
          <w:rFonts w:ascii="Book Antiqua" w:hAnsi="Book Antiqua" w:cs="Times New Roman"/>
          <w:sz w:val="21"/>
          <w:szCs w:val="21"/>
        </w:rPr>
        <w:t xml:space="preserve"> </w:t>
      </w:r>
      <w:r w:rsidR="00CE5F5B" w:rsidRPr="00497201">
        <w:rPr>
          <w:rFonts w:ascii="Book Antiqua" w:hAnsi="Book Antiqua" w:cs="Times New Roman"/>
          <w:sz w:val="21"/>
          <w:szCs w:val="21"/>
        </w:rPr>
        <w:t>`Sustainability’ in higher</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education: From </w:t>
      </w:r>
      <w:r w:rsidR="009A1589" w:rsidRPr="00497201">
        <w:rPr>
          <w:rFonts w:ascii="Book Antiqua" w:hAnsi="Book Antiqua" w:cs="Times New Roman"/>
          <w:sz w:val="21"/>
          <w:szCs w:val="21"/>
        </w:rPr>
        <w:tab/>
      </w:r>
      <w:r w:rsidR="00CE5F5B" w:rsidRPr="00497201">
        <w:rPr>
          <w:rFonts w:ascii="Book Antiqua" w:hAnsi="Book Antiqua" w:cs="Times New Roman"/>
          <w:sz w:val="21"/>
          <w:szCs w:val="21"/>
        </w:rPr>
        <w:t>doublethink and newspeak to</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critical thinking and meaningful </w:t>
      </w:r>
      <w:r w:rsidR="009A1589" w:rsidRPr="00497201">
        <w:rPr>
          <w:rFonts w:ascii="Book Antiqua" w:hAnsi="Book Antiqua" w:cs="Times New Roman"/>
          <w:sz w:val="21"/>
          <w:szCs w:val="21"/>
        </w:rPr>
        <w:tab/>
      </w:r>
      <w:r w:rsidR="00CE5F5B" w:rsidRPr="00497201">
        <w:rPr>
          <w:rFonts w:ascii="Book Antiqua" w:hAnsi="Book Antiqua" w:cs="Times New Roman"/>
          <w:sz w:val="21"/>
          <w:szCs w:val="21"/>
        </w:rPr>
        <w:t>learning, International Journal of</w:t>
      </w:r>
      <w:r w:rsidRPr="00497201">
        <w:rPr>
          <w:rFonts w:ascii="Book Antiqua" w:hAnsi="Book Antiqua" w:cs="Times New Roman"/>
          <w:sz w:val="21"/>
          <w:szCs w:val="21"/>
        </w:rPr>
        <w:t xml:space="preserve"> </w:t>
      </w:r>
      <w:r w:rsidR="00CE5F5B" w:rsidRPr="00497201">
        <w:rPr>
          <w:rFonts w:ascii="Book Antiqua" w:hAnsi="Book Antiqua" w:cs="Times New Roman"/>
          <w:sz w:val="21"/>
          <w:szCs w:val="21"/>
        </w:rPr>
        <w:t xml:space="preserve">Sustainability in Higher </w:t>
      </w:r>
      <w:r w:rsidR="009A1589" w:rsidRPr="00497201">
        <w:rPr>
          <w:rFonts w:ascii="Book Antiqua" w:hAnsi="Book Antiqua" w:cs="Times New Roman"/>
          <w:sz w:val="21"/>
          <w:szCs w:val="21"/>
        </w:rPr>
        <w:tab/>
      </w:r>
      <w:r w:rsidR="00CE5F5B" w:rsidRPr="00497201">
        <w:rPr>
          <w:rFonts w:ascii="Book Antiqua" w:hAnsi="Book Antiqua" w:cs="Times New Roman"/>
          <w:sz w:val="21"/>
          <w:szCs w:val="21"/>
        </w:rPr>
        <w:t>Education, Vol. 3 No. 3, 2002, pp. 221-232</w:t>
      </w:r>
      <w:r w:rsidR="009A1589" w:rsidRPr="00497201">
        <w:rPr>
          <w:rFonts w:ascii="Book Antiqua" w:hAnsi="Book Antiqua" w:cs="Times New Roman"/>
          <w:sz w:val="21"/>
          <w:szCs w:val="21"/>
        </w:rPr>
        <w:t>.</w:t>
      </w:r>
    </w:p>
    <w:p w:rsidR="00CE5F5B" w:rsidRPr="00497201" w:rsidRDefault="00CE5F5B" w:rsidP="00865558">
      <w:pPr>
        <w:widowControl w:val="0"/>
        <w:autoSpaceDE w:val="0"/>
        <w:autoSpaceDN w:val="0"/>
        <w:adjustRightInd w:val="0"/>
        <w:spacing w:after="0" w:line="240" w:lineRule="auto"/>
        <w:jc w:val="both"/>
        <w:rPr>
          <w:rFonts w:ascii="Book Antiqua" w:hAnsi="Book Antiqua" w:cs="Times New Roman"/>
          <w:sz w:val="21"/>
          <w:szCs w:val="21"/>
          <w:lang w:val="en-US"/>
        </w:rPr>
      </w:pPr>
      <w:r w:rsidRPr="00497201">
        <w:rPr>
          <w:rFonts w:ascii="Book Antiqua" w:hAnsi="Book Antiqua"/>
          <w:sz w:val="21"/>
          <w:szCs w:val="21"/>
        </w:rPr>
        <w:t xml:space="preserve">Yarime, M., </w:t>
      </w:r>
      <w:r w:rsidR="001B17F3" w:rsidRPr="00497201">
        <w:rPr>
          <w:rFonts w:ascii="Book Antiqua" w:hAnsi="Book Antiqua"/>
          <w:sz w:val="21"/>
          <w:szCs w:val="21"/>
        </w:rPr>
        <w:t xml:space="preserve">G. </w:t>
      </w:r>
      <w:r w:rsidRPr="00497201">
        <w:rPr>
          <w:rFonts w:ascii="Book Antiqua" w:hAnsi="Book Antiqua"/>
          <w:sz w:val="21"/>
          <w:szCs w:val="21"/>
        </w:rPr>
        <w:t xml:space="preserve">Trencher, </w:t>
      </w:r>
      <w:r w:rsidR="001B17F3" w:rsidRPr="00497201">
        <w:rPr>
          <w:rFonts w:ascii="Book Antiqua" w:hAnsi="Book Antiqua"/>
          <w:sz w:val="21"/>
          <w:szCs w:val="21"/>
        </w:rPr>
        <w:t>T.</w:t>
      </w:r>
      <w:r w:rsidRPr="00497201">
        <w:rPr>
          <w:rFonts w:ascii="Book Antiqua" w:hAnsi="Book Antiqua"/>
          <w:sz w:val="21"/>
          <w:szCs w:val="21"/>
        </w:rPr>
        <w:t xml:space="preserve"> Mino, </w:t>
      </w:r>
      <w:r w:rsidR="001B17F3" w:rsidRPr="00497201">
        <w:rPr>
          <w:rFonts w:ascii="Book Antiqua" w:hAnsi="Book Antiqua"/>
          <w:sz w:val="21"/>
          <w:szCs w:val="21"/>
        </w:rPr>
        <w:t xml:space="preserve">R.W. </w:t>
      </w:r>
      <w:r w:rsidRPr="00497201">
        <w:rPr>
          <w:rFonts w:ascii="Book Antiqua" w:hAnsi="Book Antiqua"/>
          <w:sz w:val="21"/>
          <w:szCs w:val="21"/>
        </w:rPr>
        <w:t xml:space="preserve"> Scholz, </w:t>
      </w:r>
      <w:r w:rsidR="001B17F3" w:rsidRPr="00497201">
        <w:rPr>
          <w:rFonts w:ascii="Book Antiqua" w:hAnsi="Book Antiqua"/>
          <w:sz w:val="21"/>
          <w:szCs w:val="21"/>
        </w:rPr>
        <w:t xml:space="preserve">L. </w:t>
      </w:r>
      <w:r w:rsidRPr="00497201">
        <w:rPr>
          <w:rFonts w:ascii="Book Antiqua" w:hAnsi="Book Antiqua"/>
          <w:sz w:val="21"/>
          <w:szCs w:val="21"/>
        </w:rPr>
        <w:t xml:space="preserve">Olsson, </w:t>
      </w:r>
      <w:r w:rsidR="001B17F3" w:rsidRPr="00497201">
        <w:rPr>
          <w:rFonts w:ascii="Book Antiqua" w:hAnsi="Book Antiqua"/>
          <w:sz w:val="21"/>
          <w:szCs w:val="21"/>
        </w:rPr>
        <w:t>B.</w:t>
      </w:r>
      <w:r w:rsidRPr="00497201">
        <w:rPr>
          <w:rFonts w:ascii="Book Antiqua" w:hAnsi="Book Antiqua"/>
          <w:sz w:val="21"/>
          <w:szCs w:val="21"/>
        </w:rPr>
        <w:t xml:space="preserve"> Ness, </w:t>
      </w:r>
      <w:r w:rsidR="001B17F3" w:rsidRPr="00497201">
        <w:rPr>
          <w:rFonts w:ascii="Book Antiqua" w:hAnsi="Book Antiqua"/>
          <w:sz w:val="21"/>
          <w:szCs w:val="21"/>
        </w:rPr>
        <w:t xml:space="preserve">N. </w:t>
      </w:r>
      <w:r w:rsidR="00CB7FA2" w:rsidRPr="00497201">
        <w:rPr>
          <w:rFonts w:ascii="Book Antiqua" w:hAnsi="Book Antiqua"/>
          <w:sz w:val="21"/>
          <w:szCs w:val="21"/>
        </w:rPr>
        <w:tab/>
      </w:r>
      <w:r w:rsidRPr="00497201">
        <w:rPr>
          <w:rFonts w:ascii="Book Antiqua" w:hAnsi="Book Antiqua"/>
          <w:sz w:val="21"/>
          <w:szCs w:val="21"/>
        </w:rPr>
        <w:t xml:space="preserve">Frantzeskaki </w:t>
      </w:r>
      <w:r w:rsidR="001B17F3" w:rsidRPr="00497201">
        <w:rPr>
          <w:rFonts w:ascii="Book Antiqua" w:hAnsi="Book Antiqua"/>
          <w:sz w:val="21"/>
          <w:szCs w:val="21"/>
        </w:rPr>
        <w:t xml:space="preserve">J. </w:t>
      </w:r>
      <w:r w:rsidRPr="00497201">
        <w:rPr>
          <w:rFonts w:ascii="Book Antiqua" w:hAnsi="Book Antiqua"/>
          <w:sz w:val="21"/>
          <w:szCs w:val="21"/>
        </w:rPr>
        <w:t>Rotmans</w:t>
      </w:r>
      <w:r w:rsidR="00020872" w:rsidRPr="00497201">
        <w:rPr>
          <w:rFonts w:ascii="Book Antiqua" w:hAnsi="Book Antiqua"/>
          <w:sz w:val="21"/>
          <w:szCs w:val="21"/>
        </w:rPr>
        <w:t xml:space="preserve"> </w:t>
      </w:r>
      <w:r w:rsidRPr="00236D84">
        <w:rPr>
          <w:rStyle w:val="Hyperlink"/>
          <w:rFonts w:ascii="Book Antiqua" w:hAnsi="Book Antiqua" w:cs="Times New Roman"/>
          <w:color w:val="auto"/>
          <w:sz w:val="21"/>
          <w:szCs w:val="21"/>
          <w:u w:val="none"/>
        </w:rPr>
        <w:t>(2012).</w:t>
      </w:r>
      <w:r w:rsidR="00020872" w:rsidRPr="00236D84">
        <w:rPr>
          <w:rStyle w:val="Hyperlink"/>
          <w:rFonts w:ascii="Book Antiqua" w:hAnsi="Book Antiqua" w:cs="Times New Roman"/>
          <w:color w:val="auto"/>
          <w:sz w:val="21"/>
          <w:szCs w:val="21"/>
          <w:u w:val="none"/>
        </w:rPr>
        <w:t xml:space="preserve"> </w:t>
      </w:r>
      <w:r w:rsidRPr="00497201">
        <w:rPr>
          <w:rFonts w:ascii="Book Antiqua" w:hAnsi="Book Antiqua" w:cs="Times New Roman"/>
          <w:sz w:val="21"/>
          <w:szCs w:val="21"/>
          <w:lang w:val="en-US"/>
        </w:rPr>
        <w:t xml:space="preserve">Establishing sustainability science </w:t>
      </w:r>
      <w:r w:rsidR="00CB7FA2" w:rsidRPr="00497201">
        <w:rPr>
          <w:rFonts w:ascii="Book Antiqua" w:hAnsi="Book Antiqua" w:cs="Times New Roman"/>
          <w:sz w:val="21"/>
          <w:szCs w:val="21"/>
          <w:lang w:val="en-US"/>
        </w:rPr>
        <w:tab/>
      </w:r>
      <w:r w:rsidRPr="00497201">
        <w:rPr>
          <w:rFonts w:ascii="Book Antiqua" w:hAnsi="Book Antiqua" w:cs="Times New Roman"/>
          <w:sz w:val="21"/>
          <w:szCs w:val="21"/>
          <w:lang w:val="en-US"/>
        </w:rPr>
        <w:t>in higher education institutions:</w:t>
      </w:r>
      <w:r w:rsidR="00CB7FA2" w:rsidRPr="00497201">
        <w:rPr>
          <w:rFonts w:ascii="Book Antiqua" w:hAnsi="Book Antiqua" w:cs="Times New Roman"/>
          <w:sz w:val="21"/>
          <w:szCs w:val="21"/>
          <w:lang w:val="en-US"/>
        </w:rPr>
        <w:t xml:space="preserve"> </w:t>
      </w:r>
      <w:r w:rsidRPr="00497201">
        <w:rPr>
          <w:rFonts w:ascii="Book Antiqua" w:hAnsi="Book Antiqua" w:cs="Times New Roman"/>
          <w:sz w:val="21"/>
          <w:szCs w:val="21"/>
          <w:lang w:val="en-US"/>
        </w:rPr>
        <w:t xml:space="preserve">towards an integration of academic </w:t>
      </w:r>
      <w:r w:rsidR="00CB7FA2" w:rsidRPr="00497201">
        <w:rPr>
          <w:rFonts w:ascii="Book Antiqua" w:hAnsi="Book Antiqua" w:cs="Times New Roman"/>
          <w:sz w:val="21"/>
          <w:szCs w:val="21"/>
          <w:lang w:val="en-US"/>
        </w:rPr>
        <w:tab/>
      </w:r>
      <w:r w:rsidRPr="00497201">
        <w:rPr>
          <w:rFonts w:ascii="Book Antiqua" w:hAnsi="Book Antiqua" w:cs="Times New Roman"/>
          <w:sz w:val="21"/>
          <w:szCs w:val="21"/>
          <w:lang w:val="en-US"/>
        </w:rPr>
        <w:t xml:space="preserve">development, institutionalization, and stakeholder collaborations, </w:t>
      </w:r>
      <w:r w:rsidR="00CB7FA2" w:rsidRPr="00497201">
        <w:rPr>
          <w:rFonts w:ascii="Book Antiqua" w:hAnsi="Book Antiqua" w:cs="Times New Roman"/>
          <w:sz w:val="21"/>
          <w:szCs w:val="21"/>
          <w:lang w:val="en-US"/>
        </w:rPr>
        <w:tab/>
      </w:r>
      <w:r w:rsidRPr="00497201">
        <w:rPr>
          <w:rFonts w:ascii="Book Antiqua" w:hAnsi="Book Antiqua" w:cs="Times New Roman"/>
          <w:sz w:val="21"/>
          <w:szCs w:val="21"/>
          <w:lang w:val="en-US"/>
        </w:rPr>
        <w:t>Sustain Sci (2012) 7 (Supplement 1):101–113 DOI 10.1007/s11625-</w:t>
      </w:r>
      <w:r w:rsidR="00CB7FA2" w:rsidRPr="00497201">
        <w:rPr>
          <w:rFonts w:ascii="Book Antiqua" w:hAnsi="Book Antiqua" w:cs="Times New Roman"/>
          <w:sz w:val="21"/>
          <w:szCs w:val="21"/>
          <w:lang w:val="en-US"/>
        </w:rPr>
        <w:tab/>
      </w:r>
      <w:r w:rsidRPr="00497201">
        <w:rPr>
          <w:rFonts w:ascii="Book Antiqua" w:hAnsi="Book Antiqua" w:cs="Times New Roman"/>
          <w:sz w:val="21"/>
          <w:szCs w:val="21"/>
          <w:lang w:val="en-US"/>
        </w:rPr>
        <w:t>012-0157-5</w:t>
      </w:r>
      <w:r w:rsidR="00CB7FA2" w:rsidRPr="00497201">
        <w:rPr>
          <w:rFonts w:ascii="Book Antiqua" w:hAnsi="Book Antiqua" w:cs="Times New Roman"/>
          <w:sz w:val="21"/>
          <w:szCs w:val="21"/>
          <w:lang w:val="en-US"/>
        </w:rPr>
        <w:t>.</w:t>
      </w:r>
    </w:p>
    <w:p w:rsidR="00AF1387" w:rsidRPr="00497201" w:rsidRDefault="00AF1387" w:rsidP="00865558">
      <w:pPr>
        <w:spacing w:after="0" w:line="240" w:lineRule="auto"/>
        <w:jc w:val="both"/>
        <w:rPr>
          <w:rFonts w:ascii="Book Antiqua" w:hAnsi="Book Antiqua"/>
          <w:sz w:val="21"/>
          <w:szCs w:val="21"/>
        </w:rPr>
      </w:pPr>
    </w:p>
    <w:sectPr w:rsidR="00AF1387" w:rsidRPr="00497201" w:rsidSect="00865558">
      <w:headerReference w:type="even" r:id="rId15"/>
      <w:headerReference w:type="default" r:id="rId16"/>
      <w:footerReference w:type="default" r:id="rId17"/>
      <w:pgSz w:w="12242" w:h="15842" w:code="1"/>
      <w:pgMar w:top="2160" w:right="2302" w:bottom="3022" w:left="2880" w:header="1582"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27C" w:rsidRDefault="00F0027C" w:rsidP="0071428E">
      <w:pPr>
        <w:spacing w:after="0" w:line="240" w:lineRule="auto"/>
      </w:pPr>
      <w:r>
        <w:separator/>
      </w:r>
    </w:p>
  </w:endnote>
  <w:endnote w:type="continuationSeparator" w:id="1">
    <w:p w:rsidR="00F0027C" w:rsidRDefault="00F0027C" w:rsidP="00714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B86" w:rsidRDefault="00F0027C" w:rsidP="00153B28">
    <w:pPr>
      <w:pStyle w:val="Footer"/>
      <w:tabs>
        <w:tab w:val="clear" w:pos="4680"/>
        <w:tab w:val="clear" w:pos="9360"/>
      </w:tabs>
      <w:jc w:val="center"/>
    </w:pPr>
  </w:p>
  <w:p w:rsidR="00661B86" w:rsidRDefault="00F00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27C" w:rsidRDefault="00F0027C" w:rsidP="0071428E">
      <w:pPr>
        <w:spacing w:after="0" w:line="240" w:lineRule="auto"/>
      </w:pPr>
      <w:r>
        <w:separator/>
      </w:r>
    </w:p>
  </w:footnote>
  <w:footnote w:type="continuationSeparator" w:id="1">
    <w:p w:rsidR="00F0027C" w:rsidRDefault="00F0027C" w:rsidP="007142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E5" w:rsidRPr="005430B3" w:rsidRDefault="004B4FD3" w:rsidP="00F33EE5">
    <w:pPr>
      <w:pStyle w:val="NoSpacing"/>
      <w:rPr>
        <w:rFonts w:ascii="Book Antiqua" w:hAnsi="Book Antiqua" w:cs="Arial"/>
        <w:b/>
        <w:bCs/>
        <w:i/>
        <w:sz w:val="20"/>
        <w:szCs w:val="20"/>
      </w:rPr>
    </w:pPr>
    <w:r w:rsidRPr="002764AF">
      <w:rPr>
        <w:rFonts w:ascii="Times New Roman" w:hAnsi="Times New Roman" w:cs="Times New Roman"/>
      </w:rPr>
      <w:fldChar w:fldCharType="begin"/>
    </w:r>
    <w:r w:rsidR="002764AF" w:rsidRPr="002764AF">
      <w:rPr>
        <w:rFonts w:ascii="Times New Roman" w:hAnsi="Times New Roman" w:cs="Times New Roman"/>
      </w:rPr>
      <w:instrText xml:space="preserve"> PAGE   \* MERGEFORMAT </w:instrText>
    </w:r>
    <w:r w:rsidRPr="002764AF">
      <w:rPr>
        <w:rFonts w:ascii="Times New Roman" w:hAnsi="Times New Roman" w:cs="Times New Roman"/>
      </w:rPr>
      <w:fldChar w:fldCharType="separate"/>
    </w:r>
    <w:r w:rsidR="00073C00">
      <w:rPr>
        <w:rFonts w:ascii="Times New Roman" w:hAnsi="Times New Roman" w:cs="Times New Roman"/>
        <w:noProof/>
      </w:rPr>
      <w:t>16</w:t>
    </w:r>
    <w:r w:rsidRPr="002764AF">
      <w:rPr>
        <w:rFonts w:ascii="Times New Roman" w:hAnsi="Times New Roman" w:cs="Times New Roman"/>
      </w:rPr>
      <w:fldChar w:fldCharType="end"/>
    </w:r>
    <w:r w:rsidR="002764AF" w:rsidRPr="002764AF">
      <w:rPr>
        <w:rFonts w:ascii="Times New Roman" w:hAnsi="Times New Roman" w:cs="Times New Roman"/>
      </w:rPr>
      <w:t xml:space="preserve"> </w:t>
    </w:r>
    <w:r w:rsidR="002764AF">
      <w:rPr>
        <w:rFonts w:ascii="Book Antiqua" w:hAnsi="Book Antiqua" w:cs="Times New Roman"/>
        <w:b/>
        <w:i/>
        <w:sz w:val="20"/>
        <w:szCs w:val="20"/>
      </w:rPr>
      <w:t xml:space="preserve">      </w:t>
    </w:r>
    <w:r w:rsidR="00DF53C3" w:rsidRPr="00DF53C3">
      <w:rPr>
        <w:rFonts w:ascii="Book Antiqua" w:hAnsi="Book Antiqua" w:cs="Times New Roman"/>
        <w:b/>
        <w:i/>
        <w:sz w:val="20"/>
        <w:szCs w:val="20"/>
      </w:rPr>
      <w:t>Mutisya E. &amp; M. Nagao</w:t>
    </w:r>
    <w:r w:rsidR="0072431F">
      <w:rPr>
        <w:rFonts w:ascii="Book Antiqua" w:hAnsi="Book Antiqua" w:cs="Times New Roman"/>
        <w:b/>
        <w:i/>
        <w:sz w:val="20"/>
        <w:szCs w:val="20"/>
      </w:rPr>
      <w:t xml:space="preserve">                 </w:t>
    </w:r>
    <w:r w:rsidR="00F33EE5">
      <w:rPr>
        <w:rFonts w:ascii="Book Antiqua" w:hAnsi="Book Antiqua" w:cs="Times New Roman"/>
        <w:b/>
        <w:i/>
        <w:sz w:val="20"/>
        <w:szCs w:val="20"/>
      </w:rPr>
      <w:t xml:space="preserve"> </w:t>
    </w:r>
    <w:r w:rsidR="007E1C8D">
      <w:rPr>
        <w:rFonts w:ascii="Book Antiqua" w:hAnsi="Book Antiqua" w:cs="Times New Roman"/>
        <w:b/>
        <w:i/>
        <w:sz w:val="20"/>
        <w:szCs w:val="20"/>
      </w:rPr>
      <w:t xml:space="preserve">      </w:t>
    </w:r>
    <w:r w:rsidR="00F33EE5">
      <w:rPr>
        <w:rFonts w:ascii="Book Antiqua" w:hAnsi="Book Antiqua"/>
        <w:b/>
        <w:i/>
        <w:iCs/>
        <w:sz w:val="20"/>
        <w:szCs w:val="20"/>
      </w:rPr>
      <w:t>AJSD Vol. 4 Num. 3</w:t>
    </w:r>
    <w:r w:rsidR="0072431F">
      <w:rPr>
        <w:rFonts w:ascii="Book Antiqua" w:hAnsi="Book Antiqua"/>
        <w:b/>
        <w:i/>
        <w:iCs/>
        <w:sz w:val="20"/>
        <w:szCs w:val="20"/>
      </w:rPr>
      <w:t xml:space="preserve"> Special Edition</w:t>
    </w:r>
  </w:p>
  <w:p w:rsidR="002C110E" w:rsidRPr="00DF53C3" w:rsidRDefault="002C110E" w:rsidP="002C110E">
    <w:pPr>
      <w:pStyle w:val="Header"/>
      <w:tabs>
        <w:tab w:val="clear" w:pos="4513"/>
        <w:tab w:val="clear" w:pos="9026"/>
      </w:tabs>
      <w:rPr>
        <w:i/>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DF" w:rsidRPr="009527DF" w:rsidRDefault="006E0246" w:rsidP="00627F5B">
    <w:pPr>
      <w:spacing w:after="0" w:line="240" w:lineRule="auto"/>
      <w:jc w:val="both"/>
      <w:rPr>
        <w:rFonts w:ascii="Book Antiqua" w:hAnsi="Book Antiqua" w:cs="Times New Roman"/>
        <w:b/>
        <w:i/>
        <w:sz w:val="20"/>
        <w:szCs w:val="20"/>
      </w:rPr>
    </w:pPr>
    <w:r>
      <w:rPr>
        <w:rFonts w:ascii="Book Antiqua" w:hAnsi="Book Antiqua" w:cs="Times New Roman"/>
        <w:b/>
        <w:i/>
        <w:sz w:val="20"/>
        <w:szCs w:val="20"/>
      </w:rPr>
      <w:t xml:space="preserve">      </w:t>
    </w:r>
    <w:r w:rsidR="00EC7F1D">
      <w:rPr>
        <w:rFonts w:ascii="Book Antiqua" w:hAnsi="Book Antiqua" w:cs="Times New Roman"/>
        <w:b/>
        <w:i/>
        <w:sz w:val="20"/>
        <w:szCs w:val="20"/>
      </w:rPr>
      <w:t xml:space="preserve"> </w:t>
    </w:r>
    <w:r w:rsidR="009527DF" w:rsidRPr="009527DF">
      <w:rPr>
        <w:rFonts w:ascii="Book Antiqua" w:hAnsi="Book Antiqua" w:cs="Times New Roman"/>
        <w:b/>
        <w:i/>
        <w:sz w:val="20"/>
        <w:szCs w:val="20"/>
      </w:rPr>
      <w:t>The Role of Higher Education for Sustainable Development in Africa</w:t>
    </w:r>
    <w:r w:rsidR="007C75DB">
      <w:rPr>
        <w:rFonts w:ascii="Book Antiqua" w:hAnsi="Book Antiqua" w:cs="Times New Roman"/>
        <w:b/>
        <w:i/>
        <w:sz w:val="20"/>
        <w:szCs w:val="20"/>
      </w:rPr>
      <w:t xml:space="preserve">       </w:t>
    </w:r>
    <w:r w:rsidR="004B4FD3" w:rsidRPr="007C75DB">
      <w:rPr>
        <w:rFonts w:ascii="Times New Roman" w:hAnsi="Times New Roman" w:cs="Times New Roman"/>
      </w:rPr>
      <w:fldChar w:fldCharType="begin"/>
    </w:r>
    <w:r w:rsidR="007C75DB" w:rsidRPr="007C75DB">
      <w:rPr>
        <w:rFonts w:ascii="Times New Roman" w:hAnsi="Times New Roman" w:cs="Times New Roman"/>
      </w:rPr>
      <w:instrText xml:space="preserve"> PAGE   \* MERGEFORMAT </w:instrText>
    </w:r>
    <w:r w:rsidR="004B4FD3" w:rsidRPr="007C75DB">
      <w:rPr>
        <w:rFonts w:ascii="Times New Roman" w:hAnsi="Times New Roman" w:cs="Times New Roman"/>
      </w:rPr>
      <w:fldChar w:fldCharType="separate"/>
    </w:r>
    <w:r w:rsidR="00073C00">
      <w:rPr>
        <w:rFonts w:ascii="Times New Roman" w:hAnsi="Times New Roman" w:cs="Times New Roman"/>
        <w:noProof/>
      </w:rPr>
      <w:t>15</w:t>
    </w:r>
    <w:r w:rsidR="004B4FD3" w:rsidRPr="007C75DB">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0FA6"/>
    <w:multiLevelType w:val="hybridMultilevel"/>
    <w:tmpl w:val="8886E73A"/>
    <w:lvl w:ilvl="0" w:tplc="3F4CB09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036BC"/>
    <w:multiLevelType w:val="hybridMultilevel"/>
    <w:tmpl w:val="E1C2891E"/>
    <w:lvl w:ilvl="0" w:tplc="1B1E9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35A8E"/>
    <w:multiLevelType w:val="hybridMultilevel"/>
    <w:tmpl w:val="8E6C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CE5F5B"/>
    <w:rsid w:val="00002D24"/>
    <w:rsid w:val="0001145B"/>
    <w:rsid w:val="00020872"/>
    <w:rsid w:val="00062CB0"/>
    <w:rsid w:val="000650DA"/>
    <w:rsid w:val="00073C00"/>
    <w:rsid w:val="000F74E0"/>
    <w:rsid w:val="000F7E2F"/>
    <w:rsid w:val="0010494C"/>
    <w:rsid w:val="00126C9D"/>
    <w:rsid w:val="00153B28"/>
    <w:rsid w:val="001619A1"/>
    <w:rsid w:val="001B17F3"/>
    <w:rsid w:val="001B1852"/>
    <w:rsid w:val="001E4A93"/>
    <w:rsid w:val="0022090B"/>
    <w:rsid w:val="00221BF2"/>
    <w:rsid w:val="00224A9D"/>
    <w:rsid w:val="00236D84"/>
    <w:rsid w:val="002460A7"/>
    <w:rsid w:val="002478A9"/>
    <w:rsid w:val="0025647E"/>
    <w:rsid w:val="002764AF"/>
    <w:rsid w:val="00294827"/>
    <w:rsid w:val="00297E23"/>
    <w:rsid w:val="002C110E"/>
    <w:rsid w:val="002C65C2"/>
    <w:rsid w:val="00360649"/>
    <w:rsid w:val="00367525"/>
    <w:rsid w:val="00383F68"/>
    <w:rsid w:val="003960EE"/>
    <w:rsid w:val="003C5554"/>
    <w:rsid w:val="003E5C58"/>
    <w:rsid w:val="00413B64"/>
    <w:rsid w:val="004201F0"/>
    <w:rsid w:val="00426A2E"/>
    <w:rsid w:val="0043361B"/>
    <w:rsid w:val="00464238"/>
    <w:rsid w:val="00484B5F"/>
    <w:rsid w:val="00494140"/>
    <w:rsid w:val="00497201"/>
    <w:rsid w:val="004B407A"/>
    <w:rsid w:val="004B4FD3"/>
    <w:rsid w:val="004D1D0D"/>
    <w:rsid w:val="004F3987"/>
    <w:rsid w:val="004F5E97"/>
    <w:rsid w:val="0051289F"/>
    <w:rsid w:val="005140A9"/>
    <w:rsid w:val="00521BB6"/>
    <w:rsid w:val="00527271"/>
    <w:rsid w:val="00560647"/>
    <w:rsid w:val="00582EE0"/>
    <w:rsid w:val="005847A5"/>
    <w:rsid w:val="00586814"/>
    <w:rsid w:val="005911A9"/>
    <w:rsid w:val="005B5037"/>
    <w:rsid w:val="005B694E"/>
    <w:rsid w:val="005E0201"/>
    <w:rsid w:val="00627F5B"/>
    <w:rsid w:val="006364D6"/>
    <w:rsid w:val="00636B7B"/>
    <w:rsid w:val="00646961"/>
    <w:rsid w:val="00647FBC"/>
    <w:rsid w:val="00695D18"/>
    <w:rsid w:val="006E0246"/>
    <w:rsid w:val="0071428E"/>
    <w:rsid w:val="00714E6C"/>
    <w:rsid w:val="0072431F"/>
    <w:rsid w:val="007459E0"/>
    <w:rsid w:val="0076776A"/>
    <w:rsid w:val="007B7E56"/>
    <w:rsid w:val="007C75DB"/>
    <w:rsid w:val="007E0EA8"/>
    <w:rsid w:val="007E1C8D"/>
    <w:rsid w:val="00804462"/>
    <w:rsid w:val="00805C24"/>
    <w:rsid w:val="00814CC4"/>
    <w:rsid w:val="008450EC"/>
    <w:rsid w:val="0085023F"/>
    <w:rsid w:val="00865558"/>
    <w:rsid w:val="0088044F"/>
    <w:rsid w:val="00882FDA"/>
    <w:rsid w:val="008966E7"/>
    <w:rsid w:val="008C2987"/>
    <w:rsid w:val="008F312B"/>
    <w:rsid w:val="008F3452"/>
    <w:rsid w:val="00946ED7"/>
    <w:rsid w:val="009527DF"/>
    <w:rsid w:val="009A1589"/>
    <w:rsid w:val="00A25A3B"/>
    <w:rsid w:val="00A43CBD"/>
    <w:rsid w:val="00A523B8"/>
    <w:rsid w:val="00AD7811"/>
    <w:rsid w:val="00AE79FF"/>
    <w:rsid w:val="00AF1387"/>
    <w:rsid w:val="00AF6F6F"/>
    <w:rsid w:val="00B00C0C"/>
    <w:rsid w:val="00B16A17"/>
    <w:rsid w:val="00B428AD"/>
    <w:rsid w:val="00B84020"/>
    <w:rsid w:val="00BC7132"/>
    <w:rsid w:val="00BE1132"/>
    <w:rsid w:val="00BF504F"/>
    <w:rsid w:val="00C043E0"/>
    <w:rsid w:val="00C04A97"/>
    <w:rsid w:val="00C1277B"/>
    <w:rsid w:val="00C60247"/>
    <w:rsid w:val="00C67B7D"/>
    <w:rsid w:val="00C737CB"/>
    <w:rsid w:val="00C84C8C"/>
    <w:rsid w:val="00C85B79"/>
    <w:rsid w:val="00C9280C"/>
    <w:rsid w:val="00C92DC5"/>
    <w:rsid w:val="00C9470D"/>
    <w:rsid w:val="00C95BE0"/>
    <w:rsid w:val="00CA0AF1"/>
    <w:rsid w:val="00CA2743"/>
    <w:rsid w:val="00CB7FA2"/>
    <w:rsid w:val="00CD678E"/>
    <w:rsid w:val="00CE5F5B"/>
    <w:rsid w:val="00D002E2"/>
    <w:rsid w:val="00D11B49"/>
    <w:rsid w:val="00D13C7B"/>
    <w:rsid w:val="00D57756"/>
    <w:rsid w:val="00D9129F"/>
    <w:rsid w:val="00DB19C8"/>
    <w:rsid w:val="00DB2BC0"/>
    <w:rsid w:val="00DC0D1C"/>
    <w:rsid w:val="00DD05C7"/>
    <w:rsid w:val="00DD60AC"/>
    <w:rsid w:val="00DF53C3"/>
    <w:rsid w:val="00E04201"/>
    <w:rsid w:val="00E22361"/>
    <w:rsid w:val="00E31E4C"/>
    <w:rsid w:val="00E37B24"/>
    <w:rsid w:val="00E514A7"/>
    <w:rsid w:val="00E546E5"/>
    <w:rsid w:val="00E56D9F"/>
    <w:rsid w:val="00E71825"/>
    <w:rsid w:val="00E93E73"/>
    <w:rsid w:val="00E964BB"/>
    <w:rsid w:val="00EA0D20"/>
    <w:rsid w:val="00EC573E"/>
    <w:rsid w:val="00EC6B89"/>
    <w:rsid w:val="00EC7F1D"/>
    <w:rsid w:val="00ED1EB1"/>
    <w:rsid w:val="00ED3F1E"/>
    <w:rsid w:val="00EF3919"/>
    <w:rsid w:val="00F0027C"/>
    <w:rsid w:val="00F22539"/>
    <w:rsid w:val="00F23353"/>
    <w:rsid w:val="00F23756"/>
    <w:rsid w:val="00F33EE5"/>
    <w:rsid w:val="00F629BE"/>
    <w:rsid w:val="00F645CD"/>
    <w:rsid w:val="00F87CDA"/>
    <w:rsid w:val="00F90E62"/>
    <w:rsid w:val="00F96FDB"/>
    <w:rsid w:val="00FB26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5B"/>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F5B"/>
    <w:pPr>
      <w:ind w:left="720"/>
      <w:contextualSpacing/>
    </w:pPr>
  </w:style>
  <w:style w:type="character" w:styleId="Hyperlink">
    <w:name w:val="Hyperlink"/>
    <w:basedOn w:val="DefaultParagraphFont"/>
    <w:uiPriority w:val="99"/>
    <w:unhideWhenUsed/>
    <w:rsid w:val="00CE5F5B"/>
    <w:rPr>
      <w:color w:val="0000FF" w:themeColor="hyperlink"/>
      <w:u w:val="single"/>
    </w:rPr>
  </w:style>
  <w:style w:type="paragraph" w:styleId="Footer">
    <w:name w:val="footer"/>
    <w:basedOn w:val="Normal"/>
    <w:link w:val="FooterChar"/>
    <w:uiPriority w:val="99"/>
    <w:unhideWhenUsed/>
    <w:rsid w:val="00CE5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5B"/>
    <w:rPr>
      <w:rFonts w:eastAsiaTheme="minorEastAsia"/>
      <w:lang w:eastAsia="ja-JP"/>
    </w:rPr>
  </w:style>
  <w:style w:type="paragraph" w:customStyle="1" w:styleId="Default">
    <w:name w:val="Default"/>
    <w:rsid w:val="00CE5F5B"/>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ja-JP"/>
    </w:rPr>
  </w:style>
  <w:style w:type="paragraph" w:styleId="CommentText">
    <w:name w:val="annotation text"/>
    <w:basedOn w:val="Normal"/>
    <w:link w:val="CommentTextChar"/>
    <w:uiPriority w:val="99"/>
    <w:unhideWhenUsed/>
    <w:rsid w:val="00CE5F5B"/>
  </w:style>
  <w:style w:type="character" w:customStyle="1" w:styleId="CommentTextChar">
    <w:name w:val="Comment Text Char"/>
    <w:basedOn w:val="DefaultParagraphFont"/>
    <w:link w:val="CommentText"/>
    <w:uiPriority w:val="99"/>
    <w:rsid w:val="00CE5F5B"/>
    <w:rPr>
      <w:rFonts w:eastAsiaTheme="minorEastAsia"/>
      <w:lang w:eastAsia="ja-JP"/>
    </w:rPr>
  </w:style>
  <w:style w:type="paragraph" w:styleId="NoSpacing">
    <w:name w:val="No Spacing"/>
    <w:link w:val="NoSpacingChar"/>
    <w:uiPriority w:val="1"/>
    <w:qFormat/>
    <w:rsid w:val="00CE5F5B"/>
    <w:pPr>
      <w:spacing w:after="0" w:line="240" w:lineRule="auto"/>
    </w:pPr>
    <w:rPr>
      <w:rFonts w:eastAsiaTheme="minorEastAsia"/>
      <w:lang w:eastAsia="ja-JP"/>
    </w:rPr>
  </w:style>
  <w:style w:type="character" w:customStyle="1" w:styleId="apple-converted-space">
    <w:name w:val="apple-converted-space"/>
    <w:basedOn w:val="DefaultParagraphFont"/>
    <w:rsid w:val="00CE5F5B"/>
  </w:style>
  <w:style w:type="character" w:styleId="Strong">
    <w:name w:val="Strong"/>
    <w:basedOn w:val="DefaultParagraphFont"/>
    <w:uiPriority w:val="22"/>
    <w:qFormat/>
    <w:rsid w:val="00CE5F5B"/>
    <w:rPr>
      <w:b/>
      <w:bCs/>
    </w:rPr>
  </w:style>
  <w:style w:type="paragraph" w:styleId="BalloonText">
    <w:name w:val="Balloon Text"/>
    <w:basedOn w:val="Normal"/>
    <w:link w:val="BalloonTextChar"/>
    <w:uiPriority w:val="99"/>
    <w:semiHidden/>
    <w:unhideWhenUsed/>
    <w:rsid w:val="00CE5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F5B"/>
    <w:rPr>
      <w:rFonts w:ascii="Tahoma" w:eastAsiaTheme="minorEastAsia" w:hAnsi="Tahoma" w:cs="Tahoma"/>
      <w:sz w:val="16"/>
      <w:szCs w:val="16"/>
      <w:lang w:eastAsia="ja-JP"/>
    </w:rPr>
  </w:style>
  <w:style w:type="paragraph" w:styleId="Header">
    <w:name w:val="header"/>
    <w:basedOn w:val="Normal"/>
    <w:link w:val="HeaderChar"/>
    <w:uiPriority w:val="99"/>
    <w:semiHidden/>
    <w:unhideWhenUsed/>
    <w:rsid w:val="008F31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312B"/>
    <w:rPr>
      <w:rFonts w:eastAsiaTheme="minorEastAsia"/>
      <w:lang w:eastAsia="ja-JP"/>
    </w:rPr>
  </w:style>
  <w:style w:type="character" w:customStyle="1" w:styleId="NoSpacingChar">
    <w:name w:val="No Spacing Char"/>
    <w:link w:val="NoSpacing"/>
    <w:uiPriority w:val="1"/>
    <w:rsid w:val="00F33EE5"/>
    <w:rPr>
      <w:rFonts w:eastAsiaTheme="minorEastAsia"/>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link.springer.com/search?facet-author=%22James+C.+M.+Shute%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tisya.emmanuel@gmail.com" TargetMode="External"/><Relationship Id="rId12" Type="http://schemas.openxmlformats.org/officeDocument/2006/relationships/hyperlink" Target="http://link.springer.com/search?facet-author=%22Wout+Van+Den+Bor%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unesdoc.unesco.org/images/0013/001356/13564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SDA\Desktop\Higher%20Educ.%20SS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SDA\Desktop\Higher%20Educ.%20SS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SDA\Desktop\Higher%20Educ.%20SS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35"/>
  <c:chart>
    <c:autoTitleDeleted val="1"/>
    <c:plotArea>
      <c:layout/>
      <c:lineChart>
        <c:grouping val="standard"/>
        <c:ser>
          <c:idx val="0"/>
          <c:order val="0"/>
          <c:tx>
            <c:strRef>
              <c:f>'Enrolement growth'!$B$2</c:f>
              <c:strCache>
                <c:ptCount val="1"/>
                <c:pt idx="0">
                  <c:v>Number of students ('000)</c:v>
                </c:pt>
              </c:strCache>
            </c:strRef>
          </c:tx>
          <c:dLbls>
            <c:txPr>
              <a:bodyPr/>
              <a:lstStyle/>
              <a:p>
                <a:pPr>
                  <a:defRPr lang="ja-JP"/>
                </a:pPr>
                <a:endParaRPr lang="en-US"/>
              </a:p>
            </c:txPr>
            <c:showVal val="1"/>
          </c:dLbls>
          <c:cat>
            <c:numRef>
              <c:f>'Enrolement growth'!$A$3:$A$7</c:f>
              <c:numCache>
                <c:formatCode>General</c:formatCode>
                <c:ptCount val="5"/>
                <c:pt idx="0">
                  <c:v>1970</c:v>
                </c:pt>
                <c:pt idx="1">
                  <c:v>1980</c:v>
                </c:pt>
                <c:pt idx="2">
                  <c:v>1990</c:v>
                </c:pt>
                <c:pt idx="3">
                  <c:v>2000</c:v>
                </c:pt>
                <c:pt idx="4">
                  <c:v>2010</c:v>
                </c:pt>
              </c:numCache>
            </c:numRef>
          </c:cat>
          <c:val>
            <c:numRef>
              <c:f>'Enrolement growth'!$B$3:$B$7</c:f>
              <c:numCache>
                <c:formatCode>General</c:formatCode>
                <c:ptCount val="5"/>
                <c:pt idx="0">
                  <c:v>196</c:v>
                </c:pt>
                <c:pt idx="1">
                  <c:v>497</c:v>
                </c:pt>
                <c:pt idx="2">
                  <c:v>1273</c:v>
                </c:pt>
                <c:pt idx="3">
                  <c:v>2344</c:v>
                </c:pt>
                <c:pt idx="4">
                  <c:v>4517</c:v>
                </c:pt>
              </c:numCache>
            </c:numRef>
          </c:val>
        </c:ser>
        <c:marker val="1"/>
        <c:axId val="90281856"/>
        <c:axId val="91509504"/>
      </c:lineChart>
      <c:catAx>
        <c:axId val="90281856"/>
        <c:scaling>
          <c:orientation val="minMax"/>
        </c:scaling>
        <c:axPos val="b"/>
        <c:title>
          <c:tx>
            <c:rich>
              <a:bodyPr/>
              <a:lstStyle/>
              <a:p>
                <a:pPr>
                  <a:defRPr lang="ja-JP"/>
                </a:pPr>
                <a:r>
                  <a:rPr lang="en-US"/>
                  <a:t>Year</a:t>
                </a:r>
              </a:p>
            </c:rich>
          </c:tx>
        </c:title>
        <c:numFmt formatCode="General" sourceLinked="1"/>
        <c:majorTickMark val="none"/>
        <c:tickLblPos val="nextTo"/>
        <c:txPr>
          <a:bodyPr/>
          <a:lstStyle/>
          <a:p>
            <a:pPr>
              <a:defRPr lang="ja-JP"/>
            </a:pPr>
            <a:endParaRPr lang="en-US"/>
          </a:p>
        </c:txPr>
        <c:crossAx val="91509504"/>
        <c:crosses val="autoZero"/>
        <c:auto val="1"/>
        <c:lblAlgn val="ctr"/>
        <c:lblOffset val="100"/>
        <c:noMultiLvlLbl val="1"/>
      </c:catAx>
      <c:valAx>
        <c:axId val="91509504"/>
        <c:scaling>
          <c:orientation val="minMax"/>
        </c:scaling>
        <c:axPos val="l"/>
        <c:majorGridlines/>
        <c:title>
          <c:tx>
            <c:rich>
              <a:bodyPr/>
              <a:lstStyle/>
              <a:p>
                <a:pPr>
                  <a:defRPr lang="ja-JP"/>
                </a:pPr>
                <a:r>
                  <a:rPr lang="en-US"/>
                  <a:t>Enrolment (thousand)</a:t>
                </a:r>
              </a:p>
            </c:rich>
          </c:tx>
        </c:title>
        <c:numFmt formatCode="General" sourceLinked="1"/>
        <c:majorTickMark val="none"/>
        <c:tickLblPos val="nextTo"/>
        <c:txPr>
          <a:bodyPr/>
          <a:lstStyle/>
          <a:p>
            <a:pPr>
              <a:defRPr lang="ja-JP"/>
            </a:pPr>
            <a:endParaRPr lang="en-US"/>
          </a:p>
        </c:txPr>
        <c:crossAx val="9028185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barChart>
        <c:barDir val="col"/>
        <c:grouping val="clustered"/>
        <c:ser>
          <c:idx val="0"/>
          <c:order val="0"/>
          <c:tx>
            <c:strRef>
              <c:f>'GER ratio'!$J$3</c:f>
              <c:strCache>
                <c:ptCount val="1"/>
                <c:pt idx="0">
                  <c:v>1970</c:v>
                </c:pt>
              </c:strCache>
            </c:strRef>
          </c:tx>
          <c:cat>
            <c:strRef>
              <c:f>'GER ratio'!$I$4:$I$12</c:f>
              <c:strCache>
                <c:ptCount val="9"/>
                <c:pt idx="0">
                  <c:v>North America and Western Europe</c:v>
                </c:pt>
                <c:pt idx="1">
                  <c:v>Central and Eastern Europe</c:v>
                </c:pt>
                <c:pt idx="2">
                  <c:v>Latin America and the Caribbean</c:v>
                </c:pt>
                <c:pt idx="3">
                  <c:v>Central Asia</c:v>
                </c:pt>
                <c:pt idx="4">
                  <c:v>East Asia and the Pacific</c:v>
                </c:pt>
                <c:pt idx="5">
                  <c:v>Arab states</c:v>
                </c:pt>
                <c:pt idx="6">
                  <c:v>South and West Asia</c:v>
                </c:pt>
                <c:pt idx="7">
                  <c:v>Sub-Saharan Africa</c:v>
                </c:pt>
                <c:pt idx="8">
                  <c:v>World</c:v>
                </c:pt>
              </c:strCache>
            </c:strRef>
          </c:cat>
          <c:val>
            <c:numRef>
              <c:f>'GER ratio'!$J$4:$J$12</c:f>
              <c:numCache>
                <c:formatCode>General</c:formatCode>
                <c:ptCount val="9"/>
                <c:pt idx="0">
                  <c:v>30</c:v>
                </c:pt>
                <c:pt idx="2">
                  <c:v>6</c:v>
                </c:pt>
                <c:pt idx="4">
                  <c:v>3</c:v>
                </c:pt>
                <c:pt idx="6">
                  <c:v>4</c:v>
                </c:pt>
                <c:pt idx="7">
                  <c:v>1</c:v>
                </c:pt>
                <c:pt idx="8">
                  <c:v>9</c:v>
                </c:pt>
              </c:numCache>
            </c:numRef>
          </c:val>
        </c:ser>
        <c:ser>
          <c:idx val="1"/>
          <c:order val="1"/>
          <c:tx>
            <c:strRef>
              <c:f>'GER ratio'!$K$3</c:f>
              <c:strCache>
                <c:ptCount val="1"/>
                <c:pt idx="0">
                  <c:v>1980</c:v>
                </c:pt>
              </c:strCache>
            </c:strRef>
          </c:tx>
          <c:cat>
            <c:strRef>
              <c:f>'GER ratio'!$I$4:$I$12</c:f>
              <c:strCache>
                <c:ptCount val="9"/>
                <c:pt idx="0">
                  <c:v>North America and Western Europe</c:v>
                </c:pt>
                <c:pt idx="1">
                  <c:v>Central and Eastern Europe</c:v>
                </c:pt>
                <c:pt idx="2">
                  <c:v>Latin America and the Caribbean</c:v>
                </c:pt>
                <c:pt idx="3">
                  <c:v>Central Asia</c:v>
                </c:pt>
                <c:pt idx="4">
                  <c:v>East Asia and the Pacific</c:v>
                </c:pt>
                <c:pt idx="5">
                  <c:v>Arab states</c:v>
                </c:pt>
                <c:pt idx="6">
                  <c:v>South and West Asia</c:v>
                </c:pt>
                <c:pt idx="7">
                  <c:v>Sub-Saharan Africa</c:v>
                </c:pt>
                <c:pt idx="8">
                  <c:v>World</c:v>
                </c:pt>
              </c:strCache>
            </c:strRef>
          </c:cat>
          <c:val>
            <c:numRef>
              <c:f>'GER ratio'!$K$4:$K$12</c:f>
              <c:numCache>
                <c:formatCode>General</c:formatCode>
                <c:ptCount val="9"/>
                <c:pt idx="0">
                  <c:v>37</c:v>
                </c:pt>
                <c:pt idx="2">
                  <c:v>13</c:v>
                </c:pt>
                <c:pt idx="4">
                  <c:v>5</c:v>
                </c:pt>
                <c:pt idx="6">
                  <c:v>4</c:v>
                </c:pt>
                <c:pt idx="7">
                  <c:v>2</c:v>
                </c:pt>
                <c:pt idx="8">
                  <c:v>12</c:v>
                </c:pt>
              </c:numCache>
            </c:numRef>
          </c:val>
        </c:ser>
        <c:ser>
          <c:idx val="2"/>
          <c:order val="2"/>
          <c:tx>
            <c:strRef>
              <c:f>'GER ratio'!$L$3</c:f>
              <c:strCache>
                <c:ptCount val="1"/>
                <c:pt idx="0">
                  <c:v>1990</c:v>
                </c:pt>
              </c:strCache>
            </c:strRef>
          </c:tx>
          <c:cat>
            <c:strRef>
              <c:f>'GER ratio'!$I$4:$I$12</c:f>
              <c:strCache>
                <c:ptCount val="9"/>
                <c:pt idx="0">
                  <c:v>North America and Western Europe</c:v>
                </c:pt>
                <c:pt idx="1">
                  <c:v>Central and Eastern Europe</c:v>
                </c:pt>
                <c:pt idx="2">
                  <c:v>Latin America and the Caribbean</c:v>
                </c:pt>
                <c:pt idx="3">
                  <c:v>Central Asia</c:v>
                </c:pt>
                <c:pt idx="4">
                  <c:v>East Asia and the Pacific</c:v>
                </c:pt>
                <c:pt idx="5">
                  <c:v>Arab states</c:v>
                </c:pt>
                <c:pt idx="6">
                  <c:v>South and West Asia</c:v>
                </c:pt>
                <c:pt idx="7">
                  <c:v>Sub-Saharan Africa</c:v>
                </c:pt>
                <c:pt idx="8">
                  <c:v>World</c:v>
                </c:pt>
              </c:strCache>
            </c:strRef>
          </c:cat>
          <c:val>
            <c:numRef>
              <c:f>'GER ratio'!$L$4:$L$12</c:f>
              <c:numCache>
                <c:formatCode>General</c:formatCode>
                <c:ptCount val="9"/>
                <c:pt idx="0">
                  <c:v>49</c:v>
                </c:pt>
                <c:pt idx="2">
                  <c:v>17</c:v>
                </c:pt>
                <c:pt idx="4">
                  <c:v>7</c:v>
                </c:pt>
                <c:pt idx="6">
                  <c:v>6</c:v>
                </c:pt>
                <c:pt idx="7">
                  <c:v>3</c:v>
                </c:pt>
                <c:pt idx="8">
                  <c:v>13</c:v>
                </c:pt>
              </c:numCache>
            </c:numRef>
          </c:val>
        </c:ser>
        <c:ser>
          <c:idx val="3"/>
          <c:order val="3"/>
          <c:tx>
            <c:strRef>
              <c:f>'GER ratio'!$M$3</c:f>
              <c:strCache>
                <c:ptCount val="1"/>
                <c:pt idx="0">
                  <c:v>2000</c:v>
                </c:pt>
              </c:strCache>
            </c:strRef>
          </c:tx>
          <c:cat>
            <c:strRef>
              <c:f>'GER ratio'!$I$4:$I$12</c:f>
              <c:strCache>
                <c:ptCount val="9"/>
                <c:pt idx="0">
                  <c:v>North America and Western Europe</c:v>
                </c:pt>
                <c:pt idx="1">
                  <c:v>Central and Eastern Europe</c:v>
                </c:pt>
                <c:pt idx="2">
                  <c:v>Latin America and the Caribbean</c:v>
                </c:pt>
                <c:pt idx="3">
                  <c:v>Central Asia</c:v>
                </c:pt>
                <c:pt idx="4">
                  <c:v>East Asia and the Pacific</c:v>
                </c:pt>
                <c:pt idx="5">
                  <c:v>Arab states</c:v>
                </c:pt>
                <c:pt idx="6">
                  <c:v>South and West Asia</c:v>
                </c:pt>
                <c:pt idx="7">
                  <c:v>Sub-Saharan Africa</c:v>
                </c:pt>
                <c:pt idx="8">
                  <c:v>World</c:v>
                </c:pt>
              </c:strCache>
            </c:strRef>
          </c:cat>
          <c:val>
            <c:numRef>
              <c:f>'GER ratio'!$M$4:$M$12</c:f>
              <c:numCache>
                <c:formatCode>General</c:formatCode>
                <c:ptCount val="9"/>
                <c:pt idx="0">
                  <c:v>64</c:v>
                </c:pt>
                <c:pt idx="1">
                  <c:v>41</c:v>
                </c:pt>
                <c:pt idx="2">
                  <c:v>23</c:v>
                </c:pt>
                <c:pt idx="3">
                  <c:v>23</c:v>
                </c:pt>
                <c:pt idx="4">
                  <c:v>15</c:v>
                </c:pt>
                <c:pt idx="5">
                  <c:v>20</c:v>
                </c:pt>
                <c:pt idx="6">
                  <c:v>9</c:v>
                </c:pt>
                <c:pt idx="7">
                  <c:v>4</c:v>
                </c:pt>
                <c:pt idx="8">
                  <c:v>19</c:v>
                </c:pt>
              </c:numCache>
            </c:numRef>
          </c:val>
        </c:ser>
        <c:ser>
          <c:idx val="4"/>
          <c:order val="4"/>
          <c:tx>
            <c:strRef>
              <c:f>'GER ratio'!$N$3</c:f>
              <c:strCache>
                <c:ptCount val="1"/>
                <c:pt idx="0">
                  <c:v>2007</c:v>
                </c:pt>
              </c:strCache>
            </c:strRef>
          </c:tx>
          <c:cat>
            <c:strRef>
              <c:f>'GER ratio'!$I$4:$I$12</c:f>
              <c:strCache>
                <c:ptCount val="9"/>
                <c:pt idx="0">
                  <c:v>North America and Western Europe</c:v>
                </c:pt>
                <c:pt idx="1">
                  <c:v>Central and Eastern Europe</c:v>
                </c:pt>
                <c:pt idx="2">
                  <c:v>Latin America and the Caribbean</c:v>
                </c:pt>
                <c:pt idx="3">
                  <c:v>Central Asia</c:v>
                </c:pt>
                <c:pt idx="4">
                  <c:v>East Asia and the Pacific</c:v>
                </c:pt>
                <c:pt idx="5">
                  <c:v>Arab states</c:v>
                </c:pt>
                <c:pt idx="6">
                  <c:v>South and West Asia</c:v>
                </c:pt>
                <c:pt idx="7">
                  <c:v>Sub-Saharan Africa</c:v>
                </c:pt>
                <c:pt idx="8">
                  <c:v>World</c:v>
                </c:pt>
              </c:strCache>
            </c:strRef>
          </c:cat>
          <c:val>
            <c:numRef>
              <c:f>'GER ratio'!$N$4:$N$12</c:f>
              <c:numCache>
                <c:formatCode>General</c:formatCode>
                <c:ptCount val="9"/>
                <c:pt idx="0">
                  <c:v>71</c:v>
                </c:pt>
                <c:pt idx="1">
                  <c:v>62</c:v>
                </c:pt>
                <c:pt idx="2">
                  <c:v>34</c:v>
                </c:pt>
                <c:pt idx="3">
                  <c:v>31</c:v>
                </c:pt>
                <c:pt idx="4">
                  <c:v>26</c:v>
                </c:pt>
                <c:pt idx="5">
                  <c:v>23</c:v>
                </c:pt>
                <c:pt idx="6">
                  <c:v>11</c:v>
                </c:pt>
                <c:pt idx="7">
                  <c:v>6</c:v>
                </c:pt>
                <c:pt idx="8">
                  <c:v>26</c:v>
                </c:pt>
              </c:numCache>
            </c:numRef>
          </c:val>
        </c:ser>
        <c:axId val="108211584"/>
        <c:axId val="93515776"/>
      </c:barChart>
      <c:catAx>
        <c:axId val="108211584"/>
        <c:scaling>
          <c:orientation val="minMax"/>
        </c:scaling>
        <c:axPos val="b"/>
        <c:title>
          <c:tx>
            <c:rich>
              <a:bodyPr/>
              <a:lstStyle/>
              <a:p>
                <a:pPr>
                  <a:defRPr lang="ja-JP"/>
                </a:pPr>
                <a:r>
                  <a:rPr lang="en-US"/>
                  <a:t>Region</a:t>
                </a:r>
              </a:p>
            </c:rich>
          </c:tx>
          <c:layout>
            <c:manualLayout>
              <c:xMode val="edge"/>
              <c:yMode val="edge"/>
              <c:x val="0.48709325598468234"/>
              <c:y val="0.90719780043584164"/>
            </c:manualLayout>
          </c:layout>
        </c:title>
        <c:majorTickMark val="none"/>
        <c:tickLblPos val="nextTo"/>
        <c:txPr>
          <a:bodyPr/>
          <a:lstStyle/>
          <a:p>
            <a:pPr>
              <a:defRPr lang="ja-JP"/>
            </a:pPr>
            <a:endParaRPr lang="en-US"/>
          </a:p>
        </c:txPr>
        <c:crossAx val="93515776"/>
        <c:crosses val="autoZero"/>
        <c:auto val="1"/>
        <c:lblAlgn val="ctr"/>
        <c:lblOffset val="100"/>
      </c:catAx>
      <c:valAx>
        <c:axId val="93515776"/>
        <c:scaling>
          <c:orientation val="minMax"/>
        </c:scaling>
        <c:axPos val="l"/>
        <c:majorGridlines/>
        <c:title>
          <c:tx>
            <c:rich>
              <a:bodyPr/>
              <a:lstStyle/>
              <a:p>
                <a:pPr>
                  <a:defRPr lang="ja-JP"/>
                </a:pPr>
                <a:r>
                  <a:rPr lang="en-US"/>
                  <a:t>Gross enrolment</a:t>
                </a:r>
                <a:r>
                  <a:rPr lang="en-US" baseline="0"/>
                  <a:t> rate</a:t>
                </a:r>
                <a:endParaRPr lang="en-US"/>
              </a:p>
            </c:rich>
          </c:tx>
          <c:layout>
            <c:manualLayout>
              <c:xMode val="edge"/>
              <c:yMode val="edge"/>
              <c:x val="8.5901497606916729E-3"/>
              <c:y val="0.31319855288359227"/>
            </c:manualLayout>
          </c:layout>
        </c:title>
        <c:numFmt formatCode="General" sourceLinked="1"/>
        <c:tickLblPos val="nextTo"/>
        <c:txPr>
          <a:bodyPr/>
          <a:lstStyle/>
          <a:p>
            <a:pPr>
              <a:defRPr lang="ja-JP"/>
            </a:pPr>
            <a:endParaRPr lang="en-US"/>
          </a:p>
        </c:txPr>
        <c:crossAx val="108211584"/>
        <c:crosses val="autoZero"/>
        <c:crossBetween val="between"/>
      </c:valAx>
    </c:plotArea>
    <c:legend>
      <c:legendPos val="t"/>
      <c:txPr>
        <a:bodyPr/>
        <a:lstStyle/>
        <a:p>
          <a:pPr>
            <a:defRPr lang="ja-JP"/>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style val="32"/>
  <c:chart>
    <c:autoTitleDeleted val="1"/>
    <c:plotArea>
      <c:layout>
        <c:manualLayout>
          <c:layoutTarget val="inner"/>
          <c:xMode val="edge"/>
          <c:yMode val="edge"/>
          <c:x val="0.10601405173698314"/>
          <c:y val="2.665953929377091E-2"/>
          <c:w val="0.84894611972630052"/>
          <c:h val="0.54436101657252045"/>
        </c:manualLayout>
      </c:layout>
      <c:barChart>
        <c:barDir val="col"/>
        <c:grouping val="clustered"/>
        <c:ser>
          <c:idx val="0"/>
          <c:order val="0"/>
          <c:cat>
            <c:strRef>
              <c:f>'GER ratio'!$Q$3:$Q$32</c:f>
              <c:strCache>
                <c:ptCount val="30"/>
                <c:pt idx="0">
                  <c:v>Malawi</c:v>
                </c:pt>
                <c:pt idx="1">
                  <c:v>Niger</c:v>
                </c:pt>
                <c:pt idx="2">
                  <c:v>Tanzania</c:v>
                </c:pt>
                <c:pt idx="3">
                  <c:v>CAR</c:v>
                </c:pt>
                <c:pt idx="4">
                  <c:v>Chad</c:v>
                </c:pt>
                <c:pt idx="5">
                  <c:v>Eritrea</c:v>
                </c:pt>
                <c:pt idx="6">
                  <c:v>Angola</c:v>
                </c:pt>
                <c:pt idx="7">
                  <c:v>Burkina</c:v>
                </c:pt>
                <c:pt idx="8">
                  <c:v>Burundi</c:v>
                </c:pt>
                <c:pt idx="9">
                  <c:v>Madagascar</c:v>
                </c:pt>
                <c:pt idx="10">
                  <c:v>Ethiopia</c:v>
                </c:pt>
                <c:pt idx="11">
                  <c:v>Kenya</c:v>
                </c:pt>
                <c:pt idx="12">
                  <c:v>Lesotho</c:v>
                </c:pt>
                <c:pt idx="13">
                  <c:v>Rwanda</c:v>
                </c:pt>
                <c:pt idx="14">
                  <c:v>Sao Tome</c:v>
                </c:pt>
                <c:pt idx="15">
                  <c:v>Swaziland</c:v>
                </c:pt>
                <c:pt idx="16">
                  <c:v>Uganda</c:v>
                </c:pt>
                <c:pt idx="17">
                  <c:v>DRC</c:v>
                </c:pt>
                <c:pt idx="18">
                  <c:v>Mali</c:v>
                </c:pt>
                <c:pt idx="19">
                  <c:v>Togo</c:v>
                </c:pt>
                <c:pt idx="20">
                  <c:v>Benin</c:v>
                </c:pt>
                <c:pt idx="21">
                  <c:v>Ghana</c:v>
                </c:pt>
                <c:pt idx="22">
                  <c:v>Botswana</c:v>
                </c:pt>
                <c:pt idx="23">
                  <c:v>Cote d'Ivoire</c:v>
                </c:pt>
                <c:pt idx="24">
                  <c:v>Senegal</c:v>
                </c:pt>
                <c:pt idx="25">
                  <c:v>Cameroon</c:v>
                </c:pt>
                <c:pt idx="26">
                  <c:v>Guinea</c:v>
                </c:pt>
                <c:pt idx="27">
                  <c:v>Namibia</c:v>
                </c:pt>
                <c:pt idx="28">
                  <c:v>Cape Verde</c:v>
                </c:pt>
                <c:pt idx="29">
                  <c:v>Mauritius</c:v>
                </c:pt>
              </c:strCache>
            </c:strRef>
          </c:cat>
          <c:val>
            <c:numRef>
              <c:f>'GER ratio'!$R$3:$R$32</c:f>
              <c:numCache>
                <c:formatCode>General</c:formatCode>
                <c:ptCount val="30"/>
                <c:pt idx="0">
                  <c:v>0.5</c:v>
                </c:pt>
                <c:pt idx="1">
                  <c:v>1</c:v>
                </c:pt>
                <c:pt idx="2">
                  <c:v>1</c:v>
                </c:pt>
                <c:pt idx="3">
                  <c:v>2</c:v>
                </c:pt>
                <c:pt idx="4">
                  <c:v>2</c:v>
                </c:pt>
                <c:pt idx="5">
                  <c:v>2</c:v>
                </c:pt>
                <c:pt idx="6">
                  <c:v>3</c:v>
                </c:pt>
                <c:pt idx="7">
                  <c:v>3</c:v>
                </c:pt>
                <c:pt idx="8">
                  <c:v>3</c:v>
                </c:pt>
                <c:pt idx="9">
                  <c:v>3</c:v>
                </c:pt>
                <c:pt idx="10">
                  <c:v>4</c:v>
                </c:pt>
                <c:pt idx="11">
                  <c:v>4</c:v>
                </c:pt>
                <c:pt idx="12">
                  <c:v>4</c:v>
                </c:pt>
                <c:pt idx="13">
                  <c:v>4</c:v>
                </c:pt>
                <c:pt idx="14">
                  <c:v>4</c:v>
                </c:pt>
                <c:pt idx="15">
                  <c:v>4</c:v>
                </c:pt>
                <c:pt idx="16">
                  <c:v>4</c:v>
                </c:pt>
                <c:pt idx="17">
                  <c:v>5</c:v>
                </c:pt>
                <c:pt idx="18">
                  <c:v>5</c:v>
                </c:pt>
                <c:pt idx="19">
                  <c:v>5</c:v>
                </c:pt>
                <c:pt idx="20">
                  <c:v>6</c:v>
                </c:pt>
                <c:pt idx="21">
                  <c:v>6</c:v>
                </c:pt>
                <c:pt idx="22">
                  <c:v>7.5</c:v>
                </c:pt>
                <c:pt idx="23">
                  <c:v>7.5</c:v>
                </c:pt>
                <c:pt idx="24">
                  <c:v>7.5</c:v>
                </c:pt>
                <c:pt idx="25">
                  <c:v>9</c:v>
                </c:pt>
                <c:pt idx="26">
                  <c:v>9</c:v>
                </c:pt>
                <c:pt idx="27">
                  <c:v>9</c:v>
                </c:pt>
                <c:pt idx="28">
                  <c:v>12</c:v>
                </c:pt>
                <c:pt idx="29">
                  <c:v>26</c:v>
                </c:pt>
              </c:numCache>
            </c:numRef>
          </c:val>
        </c:ser>
        <c:axId val="100413440"/>
        <c:axId val="100415360"/>
      </c:barChart>
      <c:catAx>
        <c:axId val="100413440"/>
        <c:scaling>
          <c:orientation val="minMax"/>
        </c:scaling>
        <c:axPos val="b"/>
        <c:title>
          <c:tx>
            <c:rich>
              <a:bodyPr/>
              <a:lstStyle/>
              <a:p>
                <a:pPr>
                  <a:defRPr lang="ja-JP"/>
                </a:pPr>
                <a:r>
                  <a:rPr lang="en-US"/>
                  <a:t>Country</a:t>
                </a:r>
              </a:p>
            </c:rich>
          </c:tx>
        </c:title>
        <c:majorTickMark val="none"/>
        <c:tickLblPos val="nextTo"/>
        <c:txPr>
          <a:bodyPr/>
          <a:lstStyle/>
          <a:p>
            <a:pPr>
              <a:defRPr lang="ja-JP"/>
            </a:pPr>
            <a:endParaRPr lang="en-US"/>
          </a:p>
        </c:txPr>
        <c:crossAx val="100415360"/>
        <c:crosses val="autoZero"/>
        <c:auto val="1"/>
        <c:lblAlgn val="ctr"/>
        <c:lblOffset val="100"/>
      </c:catAx>
      <c:valAx>
        <c:axId val="100415360"/>
        <c:scaling>
          <c:orientation val="minMax"/>
        </c:scaling>
        <c:axPos val="l"/>
        <c:majorGridlines/>
        <c:title>
          <c:tx>
            <c:rich>
              <a:bodyPr/>
              <a:lstStyle/>
              <a:p>
                <a:pPr>
                  <a:defRPr lang="ja-JP"/>
                </a:pPr>
                <a:r>
                  <a:rPr lang="en-US"/>
                  <a:t>Gross enrolment ratio</a:t>
                </a:r>
              </a:p>
            </c:rich>
          </c:tx>
          <c:layout>
            <c:manualLayout>
              <c:xMode val="edge"/>
              <c:yMode val="edge"/>
              <c:x val="0"/>
              <c:y val="4.0280657987058564E-2"/>
            </c:manualLayout>
          </c:layout>
        </c:title>
        <c:numFmt formatCode="General" sourceLinked="1"/>
        <c:tickLblPos val="nextTo"/>
        <c:txPr>
          <a:bodyPr/>
          <a:lstStyle/>
          <a:p>
            <a:pPr>
              <a:defRPr lang="ja-JP"/>
            </a:pPr>
            <a:endParaRPr lang="en-US"/>
          </a:p>
        </c:txPr>
        <c:crossAx val="10041344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16</Pages>
  <Words>5080</Words>
  <Characters>28959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726</cp:revision>
  <dcterms:created xsi:type="dcterms:W3CDTF">2014-10-10T21:46:00Z</dcterms:created>
  <dcterms:modified xsi:type="dcterms:W3CDTF">2014-12-16T09:28:00Z</dcterms:modified>
</cp:coreProperties>
</file>